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B879E" w14:textId="77777777" w:rsidR="00243E5B" w:rsidRDefault="00000000">
      <w:pPr>
        <w:pStyle w:val="Title"/>
        <w:keepNext w:val="0"/>
        <w:keepLines w:val="0"/>
        <w:spacing w:before="80" w:after="0" w:line="480" w:lineRule="auto"/>
        <w:ind w:right="165"/>
        <w:jc w:val="center"/>
        <w:rPr>
          <w:rFonts w:ascii="Times New Roman" w:eastAsia="Times New Roman" w:hAnsi="Times New Roman" w:cs="Times New Roman"/>
          <w:b/>
          <w:sz w:val="24"/>
          <w:szCs w:val="24"/>
        </w:rPr>
      </w:pPr>
      <w:bookmarkStart w:id="0" w:name="_ws5p2xatbbek" w:colFirst="0" w:colLast="0"/>
      <w:bookmarkEnd w:id="0"/>
      <w:r>
        <w:rPr>
          <w:rFonts w:ascii="Times New Roman" w:eastAsia="Times New Roman" w:hAnsi="Times New Roman" w:cs="Times New Roman"/>
          <w:b/>
          <w:sz w:val="24"/>
          <w:szCs w:val="24"/>
        </w:rPr>
        <w:t>THE 2023 EUGENE SCASSA MOCK OAS PROGRAM INTER-AMERICAN COURT OF HUMAN RIGHTS MOOT COURT COMPETITION</w:t>
      </w:r>
    </w:p>
    <w:p w14:paraId="72FEA498" w14:textId="77777777" w:rsidR="00243E5B" w:rsidRDefault="00000000">
      <w:pPr>
        <w:ind w:right="165"/>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tbl>
      <w:tblPr>
        <w:tblStyle w:val="a"/>
        <w:tblW w:w="8305" w:type="dxa"/>
        <w:tblBorders>
          <w:top w:val="nil"/>
          <w:left w:val="nil"/>
          <w:bottom w:val="nil"/>
          <w:right w:val="nil"/>
          <w:insideH w:val="nil"/>
          <w:insideV w:val="nil"/>
        </w:tblBorders>
        <w:tblLayout w:type="fixed"/>
        <w:tblLook w:val="0600" w:firstRow="0" w:lastRow="0" w:firstColumn="0" w:lastColumn="0" w:noHBand="1" w:noVBand="1"/>
      </w:tblPr>
      <w:tblGrid>
        <w:gridCol w:w="1175"/>
        <w:gridCol w:w="7130"/>
      </w:tblGrid>
      <w:tr w:rsidR="00243E5B" w14:paraId="03B86058" w14:textId="77777777">
        <w:trPr>
          <w:trHeight w:val="200"/>
        </w:trPr>
        <w:tc>
          <w:tcPr>
            <w:tcW w:w="1175" w:type="dxa"/>
            <w:tcMar>
              <w:top w:w="100" w:type="dxa"/>
              <w:left w:w="100" w:type="dxa"/>
              <w:bottom w:w="100" w:type="dxa"/>
              <w:right w:w="100" w:type="dxa"/>
            </w:tcMar>
          </w:tcPr>
          <w:p w14:paraId="2DFD4026" w14:textId="77777777" w:rsidR="00243E5B" w:rsidRDefault="00243E5B">
            <w:pPr>
              <w:ind w:right="165"/>
            </w:pPr>
          </w:p>
        </w:tc>
        <w:tc>
          <w:tcPr>
            <w:tcW w:w="7130" w:type="dxa"/>
            <w:shd w:val="clear" w:color="auto" w:fill="auto"/>
            <w:tcMar>
              <w:top w:w="100" w:type="dxa"/>
              <w:left w:w="100" w:type="dxa"/>
              <w:bottom w:w="100" w:type="dxa"/>
              <w:right w:w="100" w:type="dxa"/>
            </w:tcMar>
          </w:tcPr>
          <w:p w14:paraId="6792BF0E" w14:textId="77777777" w:rsidR="00243E5B" w:rsidRDefault="00243E5B">
            <w:pPr>
              <w:ind w:right="165"/>
            </w:pPr>
          </w:p>
        </w:tc>
      </w:tr>
      <w:tr w:rsidR="00243E5B" w14:paraId="24AE9D6A" w14:textId="77777777">
        <w:trPr>
          <w:trHeight w:val="215"/>
        </w:trPr>
        <w:tc>
          <w:tcPr>
            <w:tcW w:w="1175" w:type="dxa"/>
            <w:tcMar>
              <w:top w:w="100" w:type="dxa"/>
              <w:left w:w="100" w:type="dxa"/>
              <w:bottom w:w="100" w:type="dxa"/>
              <w:right w:w="100" w:type="dxa"/>
            </w:tcMar>
          </w:tcPr>
          <w:p w14:paraId="5354C4CB" w14:textId="77777777" w:rsidR="00243E5B" w:rsidRDefault="00243E5B">
            <w:pPr>
              <w:ind w:right="165"/>
            </w:pPr>
          </w:p>
        </w:tc>
        <w:tc>
          <w:tcPr>
            <w:tcW w:w="7130" w:type="dxa"/>
            <w:tcMar>
              <w:top w:w="100" w:type="dxa"/>
              <w:left w:w="100" w:type="dxa"/>
              <w:bottom w:w="100" w:type="dxa"/>
              <w:right w:w="100" w:type="dxa"/>
            </w:tcMar>
          </w:tcPr>
          <w:p w14:paraId="760E7BC1" w14:textId="77777777" w:rsidR="00243E5B" w:rsidRDefault="00243E5B">
            <w:pPr>
              <w:ind w:right="165"/>
            </w:pPr>
          </w:p>
        </w:tc>
      </w:tr>
    </w:tbl>
    <w:p w14:paraId="59D9C08D" w14:textId="77777777" w:rsidR="00243E5B" w:rsidRDefault="00243E5B">
      <w:pPr>
        <w:ind w:right="165"/>
        <w:rPr>
          <w:rFonts w:ascii="Times New Roman" w:eastAsia="Times New Roman" w:hAnsi="Times New Roman" w:cs="Times New Roman"/>
          <w:b/>
          <w:sz w:val="29"/>
          <w:szCs w:val="29"/>
        </w:rPr>
      </w:pPr>
    </w:p>
    <w:p w14:paraId="11BCC149" w14:textId="77777777" w:rsidR="00243E5B" w:rsidRDefault="00000000">
      <w:pPr>
        <w:spacing w:before="100"/>
        <w:ind w:right="165"/>
        <w:jc w:val="center"/>
        <w:rPr>
          <w:rFonts w:ascii="Times New Roman" w:eastAsia="Times New Roman" w:hAnsi="Times New Roman" w:cs="Times New Roman"/>
          <w:b/>
          <w:sz w:val="20"/>
          <w:szCs w:val="20"/>
        </w:rPr>
      </w:pPr>
      <w:r>
        <w:rPr>
          <w:rFonts w:ascii="Times New Roman" w:eastAsia="Times New Roman" w:hAnsi="Times New Roman" w:cs="Times New Roman"/>
          <w:b/>
          <w:sz w:val="24"/>
          <w:szCs w:val="24"/>
        </w:rPr>
        <w:t>IN THE INTER-AMERICAN COURT OF HUMAN RIGHTS</w:t>
      </w:r>
    </w:p>
    <w:tbl>
      <w:tblPr>
        <w:tblStyle w:val="a0"/>
        <w:tblW w:w="8305" w:type="dxa"/>
        <w:tblBorders>
          <w:top w:val="nil"/>
          <w:left w:val="nil"/>
          <w:bottom w:val="nil"/>
          <w:right w:val="nil"/>
          <w:insideH w:val="nil"/>
          <w:insideV w:val="nil"/>
        </w:tblBorders>
        <w:tblLayout w:type="fixed"/>
        <w:tblLook w:val="0600" w:firstRow="0" w:lastRow="0" w:firstColumn="0" w:lastColumn="0" w:noHBand="1" w:noVBand="1"/>
      </w:tblPr>
      <w:tblGrid>
        <w:gridCol w:w="1175"/>
        <w:gridCol w:w="7130"/>
      </w:tblGrid>
      <w:tr w:rsidR="00243E5B" w14:paraId="20EF63BF" w14:textId="77777777">
        <w:trPr>
          <w:trHeight w:val="200"/>
        </w:trPr>
        <w:tc>
          <w:tcPr>
            <w:tcW w:w="1175" w:type="dxa"/>
            <w:tcMar>
              <w:top w:w="100" w:type="dxa"/>
              <w:left w:w="100" w:type="dxa"/>
              <w:bottom w:w="100" w:type="dxa"/>
              <w:right w:w="100" w:type="dxa"/>
            </w:tcMar>
          </w:tcPr>
          <w:p w14:paraId="114FBBC1" w14:textId="77777777" w:rsidR="00243E5B" w:rsidRDefault="00243E5B">
            <w:pPr>
              <w:ind w:right="165"/>
            </w:pPr>
          </w:p>
        </w:tc>
        <w:tc>
          <w:tcPr>
            <w:tcW w:w="7130" w:type="dxa"/>
            <w:shd w:val="clear" w:color="auto" w:fill="auto"/>
            <w:tcMar>
              <w:top w:w="100" w:type="dxa"/>
              <w:left w:w="100" w:type="dxa"/>
              <w:bottom w:w="100" w:type="dxa"/>
              <w:right w:w="100" w:type="dxa"/>
            </w:tcMar>
          </w:tcPr>
          <w:p w14:paraId="3AE2915D" w14:textId="77777777" w:rsidR="00243E5B" w:rsidRDefault="00243E5B">
            <w:pPr>
              <w:ind w:right="165"/>
            </w:pPr>
          </w:p>
        </w:tc>
      </w:tr>
      <w:tr w:rsidR="00243E5B" w14:paraId="164899A2" w14:textId="77777777">
        <w:trPr>
          <w:trHeight w:val="215"/>
        </w:trPr>
        <w:tc>
          <w:tcPr>
            <w:tcW w:w="1175" w:type="dxa"/>
            <w:tcMar>
              <w:top w:w="100" w:type="dxa"/>
              <w:left w:w="100" w:type="dxa"/>
              <w:bottom w:w="100" w:type="dxa"/>
              <w:right w:w="100" w:type="dxa"/>
            </w:tcMar>
          </w:tcPr>
          <w:p w14:paraId="1AD24A64" w14:textId="77777777" w:rsidR="00243E5B" w:rsidRDefault="00243E5B">
            <w:pPr>
              <w:ind w:right="165"/>
            </w:pPr>
          </w:p>
        </w:tc>
        <w:tc>
          <w:tcPr>
            <w:tcW w:w="7130" w:type="dxa"/>
            <w:tcMar>
              <w:top w:w="100" w:type="dxa"/>
              <w:left w:w="100" w:type="dxa"/>
              <w:bottom w:w="100" w:type="dxa"/>
              <w:right w:w="100" w:type="dxa"/>
            </w:tcMar>
          </w:tcPr>
          <w:p w14:paraId="107C940E" w14:textId="77777777" w:rsidR="00243E5B" w:rsidRDefault="00243E5B">
            <w:pPr>
              <w:ind w:right="165"/>
            </w:pPr>
          </w:p>
        </w:tc>
      </w:tr>
    </w:tbl>
    <w:p w14:paraId="7A3A8655" w14:textId="77777777" w:rsidR="00243E5B" w:rsidRDefault="00243E5B">
      <w:pPr>
        <w:ind w:right="165"/>
        <w:rPr>
          <w:rFonts w:ascii="Times New Roman" w:eastAsia="Times New Roman" w:hAnsi="Times New Roman" w:cs="Times New Roman"/>
          <w:b/>
          <w:sz w:val="20"/>
          <w:szCs w:val="20"/>
        </w:rPr>
      </w:pPr>
    </w:p>
    <w:p w14:paraId="32406AB5" w14:textId="77777777" w:rsidR="00243E5B" w:rsidRDefault="00000000">
      <w:pPr>
        <w:ind w:right="165"/>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p w14:paraId="6C4A7718" w14:textId="77777777" w:rsidR="00243E5B" w:rsidRDefault="00000000">
      <w:pPr>
        <w:spacing w:before="200"/>
        <w:ind w:right="16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April 2023</w:t>
      </w:r>
    </w:p>
    <w:p w14:paraId="7FC7CFA6" w14:textId="77777777" w:rsidR="00243E5B" w:rsidRDefault="00000000">
      <w:pPr>
        <w:ind w:right="165"/>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14:paraId="2F75FDEE" w14:textId="77777777" w:rsidR="00243E5B" w:rsidRDefault="00000000">
      <w:pPr>
        <w:ind w:right="165"/>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14:paraId="5C9B5938" w14:textId="77777777" w:rsidR="00243E5B" w:rsidRDefault="00000000">
      <w:pPr>
        <w:spacing w:before="240"/>
        <w:ind w:right="16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BERNARNOLDO TRIBE”</w:t>
      </w:r>
    </w:p>
    <w:p w14:paraId="4EBA974E" w14:textId="77777777" w:rsidR="00243E5B" w:rsidRDefault="00000000">
      <w:pPr>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74B5CA2" w14:textId="77777777" w:rsidR="00243E5B" w:rsidRDefault="00000000">
      <w:pPr>
        <w:ind w:right="165"/>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Petitioner</w:t>
      </w:r>
    </w:p>
    <w:p w14:paraId="512D8FC3" w14:textId="77777777" w:rsidR="00243E5B" w:rsidRDefault="00000000">
      <w:pPr>
        <w:ind w:right="165"/>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5BF10EAB" w14:textId="77777777" w:rsidR="00243E5B" w:rsidRDefault="00000000">
      <w:pPr>
        <w:ind w:right="16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p>
    <w:p w14:paraId="49CCA65D" w14:textId="77777777" w:rsidR="00243E5B" w:rsidRDefault="00000000">
      <w:pPr>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B171B5F" w14:textId="77777777" w:rsidR="00243E5B" w:rsidRDefault="00000000">
      <w:pPr>
        <w:spacing w:before="480"/>
        <w:ind w:right="16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REPUBLIC OF SUPPLEEVIA”</w:t>
      </w:r>
    </w:p>
    <w:p w14:paraId="5081E054" w14:textId="77777777" w:rsidR="00243E5B" w:rsidRDefault="00000000">
      <w:pPr>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2187E809" w14:textId="77777777" w:rsidR="00243E5B" w:rsidRDefault="00000000">
      <w:pPr>
        <w:ind w:right="165"/>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State</w:t>
      </w:r>
    </w:p>
    <w:p w14:paraId="75DD5BDC" w14:textId="77777777" w:rsidR="00243E5B" w:rsidRDefault="00000000">
      <w:pPr>
        <w:ind w:right="165"/>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p>
    <w:p w14:paraId="481A08C6" w14:textId="77777777" w:rsidR="00243E5B" w:rsidRDefault="00000000">
      <w:pPr>
        <w:ind w:right="165"/>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p>
    <w:p w14:paraId="29CF6587" w14:textId="77777777" w:rsidR="00243E5B" w:rsidRDefault="00000000">
      <w:pPr>
        <w:ind w:right="165"/>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p>
    <w:tbl>
      <w:tblPr>
        <w:tblStyle w:val="a1"/>
        <w:tblW w:w="8305" w:type="dxa"/>
        <w:tblBorders>
          <w:top w:val="nil"/>
          <w:left w:val="nil"/>
          <w:bottom w:val="nil"/>
          <w:right w:val="nil"/>
          <w:insideH w:val="nil"/>
          <w:insideV w:val="nil"/>
        </w:tblBorders>
        <w:tblLayout w:type="fixed"/>
        <w:tblLook w:val="0600" w:firstRow="0" w:lastRow="0" w:firstColumn="0" w:lastColumn="0" w:noHBand="1" w:noVBand="1"/>
      </w:tblPr>
      <w:tblGrid>
        <w:gridCol w:w="1175"/>
        <w:gridCol w:w="7130"/>
      </w:tblGrid>
      <w:tr w:rsidR="00243E5B" w14:paraId="7F90D224" w14:textId="77777777">
        <w:trPr>
          <w:trHeight w:val="200"/>
        </w:trPr>
        <w:tc>
          <w:tcPr>
            <w:tcW w:w="1175" w:type="dxa"/>
            <w:tcMar>
              <w:top w:w="100" w:type="dxa"/>
              <w:left w:w="100" w:type="dxa"/>
              <w:bottom w:w="100" w:type="dxa"/>
              <w:right w:w="100" w:type="dxa"/>
            </w:tcMar>
          </w:tcPr>
          <w:p w14:paraId="1476BE78" w14:textId="77777777" w:rsidR="00243E5B" w:rsidRDefault="00243E5B">
            <w:pPr>
              <w:ind w:right="165"/>
            </w:pPr>
          </w:p>
        </w:tc>
        <w:tc>
          <w:tcPr>
            <w:tcW w:w="7130" w:type="dxa"/>
            <w:shd w:val="clear" w:color="auto" w:fill="auto"/>
            <w:tcMar>
              <w:top w:w="100" w:type="dxa"/>
              <w:left w:w="100" w:type="dxa"/>
              <w:bottom w:w="100" w:type="dxa"/>
              <w:right w:w="100" w:type="dxa"/>
            </w:tcMar>
          </w:tcPr>
          <w:p w14:paraId="2A75AD94" w14:textId="77777777" w:rsidR="00243E5B" w:rsidRDefault="00243E5B">
            <w:pPr>
              <w:ind w:right="165"/>
            </w:pPr>
          </w:p>
        </w:tc>
      </w:tr>
      <w:tr w:rsidR="00243E5B" w14:paraId="6AB61F70" w14:textId="77777777">
        <w:trPr>
          <w:trHeight w:val="215"/>
        </w:trPr>
        <w:tc>
          <w:tcPr>
            <w:tcW w:w="1175" w:type="dxa"/>
            <w:tcMar>
              <w:top w:w="100" w:type="dxa"/>
              <w:left w:w="100" w:type="dxa"/>
              <w:bottom w:w="100" w:type="dxa"/>
              <w:right w:w="100" w:type="dxa"/>
            </w:tcMar>
          </w:tcPr>
          <w:p w14:paraId="71DAA4F0" w14:textId="77777777" w:rsidR="00243E5B" w:rsidRDefault="00243E5B">
            <w:pPr>
              <w:ind w:right="165"/>
            </w:pPr>
          </w:p>
        </w:tc>
        <w:tc>
          <w:tcPr>
            <w:tcW w:w="7130" w:type="dxa"/>
            <w:tcMar>
              <w:top w:w="100" w:type="dxa"/>
              <w:left w:w="100" w:type="dxa"/>
              <w:bottom w:w="100" w:type="dxa"/>
              <w:right w:w="100" w:type="dxa"/>
            </w:tcMar>
          </w:tcPr>
          <w:p w14:paraId="6BF680BF" w14:textId="77777777" w:rsidR="00243E5B" w:rsidRDefault="00243E5B">
            <w:pPr>
              <w:ind w:right="165"/>
            </w:pPr>
          </w:p>
        </w:tc>
      </w:tr>
    </w:tbl>
    <w:p w14:paraId="67E0F5DC" w14:textId="77777777" w:rsidR="00243E5B" w:rsidRDefault="00000000">
      <w:pPr>
        <w:spacing w:before="20"/>
        <w:ind w:right="165"/>
      </w:pPr>
      <w:r>
        <w:br/>
      </w:r>
    </w:p>
    <w:p w14:paraId="3C44E186" w14:textId="77777777" w:rsidR="00243E5B" w:rsidRDefault="00000000">
      <w:pPr>
        <w:ind w:right="165"/>
        <w:rPr>
          <w:rFonts w:ascii="Times New Roman" w:eastAsia="Times New Roman" w:hAnsi="Times New Roman" w:cs="Times New Roman"/>
          <w:i/>
        </w:rPr>
      </w:pPr>
      <w:r>
        <w:rPr>
          <w:rFonts w:ascii="Times New Roman" w:eastAsia="Times New Roman" w:hAnsi="Times New Roman" w:cs="Times New Roman"/>
          <w:i/>
        </w:rPr>
        <w:t xml:space="preserve"> </w:t>
      </w:r>
    </w:p>
    <w:p w14:paraId="398C9B09" w14:textId="77777777" w:rsidR="00243E5B" w:rsidRDefault="00000000">
      <w:pPr>
        <w:spacing w:before="100"/>
        <w:ind w:right="16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MEMORIAL FOR THE PETITIONER</w:t>
      </w:r>
    </w:p>
    <w:p w14:paraId="62247B70" w14:textId="77777777" w:rsidR="00243E5B" w:rsidRDefault="00000000">
      <w:pPr>
        <w:pStyle w:val="Heading1"/>
        <w:spacing w:before="80"/>
        <w:ind w:right="165"/>
        <w:jc w:val="center"/>
        <w:rPr>
          <w:rFonts w:ascii="Times New Roman" w:eastAsia="Times New Roman" w:hAnsi="Times New Roman" w:cs="Times New Roman"/>
          <w:b/>
          <w:sz w:val="24"/>
          <w:szCs w:val="24"/>
          <w:u w:val="single"/>
        </w:rPr>
      </w:pPr>
      <w:bookmarkStart w:id="1" w:name="_w8kxx67f4rl7" w:colFirst="0" w:colLast="0"/>
      <w:bookmarkEnd w:id="1"/>
      <w:r>
        <w:rPr>
          <w:rFonts w:ascii="Times New Roman" w:eastAsia="Times New Roman" w:hAnsi="Times New Roman" w:cs="Times New Roman"/>
          <w:b/>
          <w:sz w:val="24"/>
          <w:szCs w:val="24"/>
          <w:u w:val="single"/>
        </w:rPr>
        <w:lastRenderedPageBreak/>
        <w:t>TABLE OF CONTENTS</w:t>
      </w:r>
    </w:p>
    <w:p w14:paraId="2CA0695B" w14:textId="77777777" w:rsidR="00243E5B" w:rsidRDefault="00000000">
      <w:pPr>
        <w:spacing w:before="280"/>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INDEX OF AUTHORITIES.</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3</w:t>
      </w:r>
    </w:p>
    <w:p w14:paraId="20F69097" w14:textId="1571DDEB" w:rsidR="00243E5B" w:rsidRDefault="00000000">
      <w:pPr>
        <w:spacing w:before="280"/>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STATEMENT OF FACTS.</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4</w:t>
      </w:r>
    </w:p>
    <w:p w14:paraId="2E15C41A" w14:textId="77777777" w:rsidR="00243E5B" w:rsidRDefault="00000000">
      <w:pPr>
        <w:spacing w:before="280"/>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LEGAL ANALYSIS.</w:t>
      </w:r>
      <w:r>
        <w:rPr>
          <w:rFonts w:ascii="Times New Roman" w:eastAsia="Times New Roman" w:hAnsi="Times New Roman" w:cs="Times New Roman"/>
          <w:sz w:val="24"/>
          <w:szCs w:val="24"/>
        </w:rPr>
        <w:t>...................................................................................................................7</w:t>
      </w:r>
    </w:p>
    <w:p w14:paraId="1410EBB8" w14:textId="77777777" w:rsidR="00243E5B" w:rsidRDefault="00000000">
      <w:pPr>
        <w:spacing w:before="280"/>
        <w:ind w:right="165"/>
        <w:rPr>
          <w:rFonts w:ascii="Times New Roman" w:eastAsia="Times New Roman" w:hAnsi="Times New Roman" w:cs="Times New Roman"/>
          <w:sz w:val="24"/>
          <w:szCs w:val="24"/>
        </w:rPr>
      </w:pPr>
      <w:r>
        <w:rPr>
          <w:rFonts w:ascii="Times New Roman" w:eastAsia="Times New Roman" w:hAnsi="Times New Roman" w:cs="Times New Roman"/>
          <w:b/>
          <w:sz w:val="24"/>
          <w:szCs w:val="24"/>
        </w:rPr>
        <w:t>1. ADMISSIBILITY…</w:t>
      </w:r>
      <w:r>
        <w:rPr>
          <w:rFonts w:ascii="Times New Roman" w:eastAsia="Times New Roman" w:hAnsi="Times New Roman" w:cs="Times New Roman"/>
          <w:sz w:val="24"/>
          <w:szCs w:val="24"/>
        </w:rPr>
        <w:t>................................................................................................................7</w:t>
      </w:r>
    </w:p>
    <w:p w14:paraId="682FB640" w14:textId="77777777" w:rsidR="00243E5B" w:rsidRDefault="00000000">
      <w:pPr>
        <w:spacing w:before="280"/>
        <w:ind w:right="165" w:firstLine="720"/>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Statement</w:t>
      </w:r>
      <w:proofErr w:type="gramEnd"/>
      <w:r>
        <w:rPr>
          <w:rFonts w:ascii="Times New Roman" w:eastAsia="Times New Roman" w:hAnsi="Times New Roman" w:cs="Times New Roman"/>
          <w:b/>
          <w:sz w:val="24"/>
          <w:szCs w:val="24"/>
        </w:rPr>
        <w:t xml:space="preserve"> of Jurisdiction</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7</w:t>
      </w:r>
    </w:p>
    <w:p w14:paraId="096FAF3D" w14:textId="77777777" w:rsidR="00243E5B" w:rsidRDefault="00000000">
      <w:pPr>
        <w:spacing w:before="280"/>
        <w:ind w:right="165" w:firstLine="720"/>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Exhaustion</w:t>
      </w:r>
      <w:proofErr w:type="gramEnd"/>
      <w:r>
        <w:rPr>
          <w:rFonts w:ascii="Times New Roman" w:eastAsia="Times New Roman" w:hAnsi="Times New Roman" w:cs="Times New Roman"/>
          <w:b/>
          <w:sz w:val="24"/>
          <w:szCs w:val="24"/>
        </w:rPr>
        <w:t xml:space="preserve"> of Remedies…</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7</w:t>
      </w:r>
    </w:p>
    <w:p w14:paraId="1CA25F8D" w14:textId="77777777" w:rsidR="00243E5B" w:rsidRDefault="00000000">
      <w:pPr>
        <w:spacing w:before="280"/>
        <w:ind w:right="165"/>
        <w:rPr>
          <w:rFonts w:ascii="Times New Roman" w:eastAsia="Times New Roman" w:hAnsi="Times New Roman" w:cs="Times New Roman"/>
          <w:b/>
          <w:sz w:val="24"/>
          <w:szCs w:val="24"/>
        </w:rPr>
      </w:pPr>
      <w:r>
        <w:rPr>
          <w:rFonts w:ascii="Times New Roman" w:eastAsia="Times New Roman" w:hAnsi="Times New Roman" w:cs="Times New Roman"/>
          <w:b/>
        </w:rPr>
        <w:t xml:space="preserve">2. </w:t>
      </w:r>
      <w:r>
        <w:rPr>
          <w:rFonts w:ascii="Times New Roman" w:eastAsia="Times New Roman" w:hAnsi="Times New Roman" w:cs="Times New Roman"/>
          <w:b/>
          <w:sz w:val="24"/>
          <w:szCs w:val="24"/>
        </w:rPr>
        <w:t>VIOLATIONS…</w:t>
      </w:r>
      <w:r>
        <w:rPr>
          <w:rFonts w:ascii="Times New Roman" w:eastAsia="Times New Roman" w:hAnsi="Times New Roman" w:cs="Times New Roman"/>
          <w:sz w:val="24"/>
          <w:szCs w:val="24"/>
        </w:rPr>
        <w:t xml:space="preserve">......................................................................................................................8 </w:t>
      </w:r>
    </w:p>
    <w:p w14:paraId="1C385408" w14:textId="77777777" w:rsidR="00243E5B" w:rsidRDefault="00000000">
      <w:pPr>
        <w:spacing w:before="280"/>
        <w:ind w:right="165"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American Convention on Human Rights</w:t>
      </w:r>
      <w:r>
        <w:rPr>
          <w:rFonts w:ascii="Times New Roman" w:eastAsia="Times New Roman" w:hAnsi="Times New Roman" w:cs="Times New Roman"/>
          <w:sz w:val="24"/>
          <w:szCs w:val="24"/>
        </w:rPr>
        <w:t>................................................................8</w:t>
      </w:r>
    </w:p>
    <w:p w14:paraId="37FC6609" w14:textId="77777777" w:rsidR="00243E5B" w:rsidRDefault="00000000">
      <w:pPr>
        <w:spacing w:before="280"/>
        <w:ind w:right="165"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2.2</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American Declaration on the Rights of Indigenous Peoples</w:t>
      </w:r>
      <w:r>
        <w:rPr>
          <w:rFonts w:ascii="Times New Roman" w:eastAsia="Times New Roman" w:hAnsi="Times New Roman" w:cs="Times New Roman"/>
          <w:sz w:val="24"/>
          <w:szCs w:val="24"/>
        </w:rPr>
        <w:t>….............................8</w:t>
      </w:r>
    </w:p>
    <w:p w14:paraId="68E34AC6" w14:textId="77777777" w:rsidR="00243E5B" w:rsidRDefault="00000000">
      <w:pPr>
        <w:spacing w:before="280"/>
        <w:ind w:right="165"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American Declaration on the Rights and Duties of Man</w:t>
      </w:r>
      <w:r>
        <w:rPr>
          <w:rFonts w:ascii="Times New Roman" w:eastAsia="Times New Roman" w:hAnsi="Times New Roman" w:cs="Times New Roman"/>
          <w:sz w:val="24"/>
          <w:szCs w:val="24"/>
        </w:rPr>
        <w:t>………………………...8</w:t>
      </w:r>
    </w:p>
    <w:p w14:paraId="72B87028" w14:textId="77777777" w:rsidR="00243E5B" w:rsidRDefault="00000000">
      <w:pPr>
        <w:spacing w:before="280"/>
        <w:ind w:right="165"/>
        <w:rPr>
          <w:rFonts w:ascii="Times New Roman" w:eastAsia="Times New Roman" w:hAnsi="Times New Roman" w:cs="Times New Roman"/>
          <w:sz w:val="24"/>
          <w:szCs w:val="24"/>
        </w:rPr>
      </w:pPr>
      <w:r>
        <w:rPr>
          <w:rFonts w:ascii="Times New Roman" w:eastAsia="Times New Roman" w:hAnsi="Times New Roman" w:cs="Times New Roman"/>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ARGUMENTS ON THE MERITS</w:t>
      </w:r>
      <w:r>
        <w:rPr>
          <w:rFonts w:ascii="Times New Roman" w:eastAsia="Times New Roman" w:hAnsi="Times New Roman" w:cs="Times New Roman"/>
          <w:sz w:val="24"/>
          <w:szCs w:val="24"/>
        </w:rPr>
        <w:t>…....................................................................................8</w:t>
      </w:r>
    </w:p>
    <w:p w14:paraId="28B3B3C1" w14:textId="77777777" w:rsidR="00243E5B" w:rsidRDefault="00000000">
      <w:pPr>
        <w:spacing w:before="280"/>
        <w:ind w:right="165"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3.1 American Convention on Human Rights</w:t>
      </w:r>
      <w:r>
        <w:rPr>
          <w:rFonts w:ascii="Times New Roman" w:eastAsia="Times New Roman" w:hAnsi="Times New Roman" w:cs="Times New Roman"/>
          <w:sz w:val="24"/>
          <w:szCs w:val="24"/>
        </w:rPr>
        <w:t>…………………………………………8</w:t>
      </w:r>
    </w:p>
    <w:p w14:paraId="1103CB75" w14:textId="77777777" w:rsidR="00243E5B" w:rsidRDefault="00000000">
      <w:pPr>
        <w:spacing w:before="280"/>
        <w:ind w:left="720" w:right="165"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a. Article 1</w:t>
      </w:r>
      <w:r>
        <w:rPr>
          <w:rFonts w:ascii="Times New Roman" w:eastAsia="Times New Roman" w:hAnsi="Times New Roman" w:cs="Times New Roman"/>
          <w:sz w:val="24"/>
          <w:szCs w:val="24"/>
        </w:rPr>
        <w:t xml:space="preserve">…........................................................................................................8 </w:t>
      </w:r>
    </w:p>
    <w:p w14:paraId="59A100E6" w14:textId="77777777" w:rsidR="00243E5B" w:rsidRDefault="00000000">
      <w:pPr>
        <w:spacing w:before="280"/>
        <w:ind w:left="720" w:right="165"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b. Article 12.2</w:t>
      </w:r>
      <w:r>
        <w:rPr>
          <w:rFonts w:ascii="Times New Roman" w:eastAsia="Times New Roman" w:hAnsi="Times New Roman" w:cs="Times New Roman"/>
          <w:sz w:val="24"/>
          <w:szCs w:val="24"/>
        </w:rPr>
        <w:t>…...................................................................................................9</w:t>
      </w:r>
    </w:p>
    <w:p w14:paraId="10AC56A4" w14:textId="77777777" w:rsidR="00243E5B" w:rsidRDefault="00000000">
      <w:pPr>
        <w:spacing w:before="280"/>
        <w:ind w:left="720" w:right="165"/>
        <w:rPr>
          <w:rFonts w:ascii="Times New Roman" w:eastAsia="Times New Roman" w:hAnsi="Times New Roman" w:cs="Times New Roman"/>
          <w:sz w:val="14"/>
          <w:szCs w:val="14"/>
        </w:rPr>
      </w:pPr>
      <w:r>
        <w:rPr>
          <w:rFonts w:ascii="Times New Roman" w:eastAsia="Times New Roman" w:hAnsi="Times New Roman" w:cs="Times New Roman"/>
          <w:b/>
          <w:sz w:val="24"/>
          <w:szCs w:val="24"/>
        </w:rPr>
        <w:t>3.3</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American Declaration of the Rights and Duties of Man</w:t>
      </w: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10</w:t>
      </w:r>
    </w:p>
    <w:p w14:paraId="3E849850" w14:textId="77777777" w:rsidR="00243E5B" w:rsidRDefault="00000000">
      <w:pPr>
        <w:spacing w:before="280"/>
        <w:ind w:left="720" w:right="165"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a. Article 3</w:t>
      </w: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10</w:t>
      </w:r>
    </w:p>
    <w:p w14:paraId="7FD3FA84" w14:textId="77777777" w:rsidR="00243E5B" w:rsidRDefault="00000000">
      <w:pPr>
        <w:spacing w:before="280"/>
        <w:ind w:right="165" w:firstLine="720"/>
        <w:rPr>
          <w:rFonts w:ascii="Times New Roman" w:eastAsia="Times New Roman" w:hAnsi="Times New Roman" w:cs="Times New Roman"/>
          <w:sz w:val="14"/>
          <w:szCs w:val="14"/>
        </w:rPr>
      </w:pPr>
      <w:r>
        <w:rPr>
          <w:rFonts w:ascii="Times New Roman" w:eastAsia="Times New Roman" w:hAnsi="Times New Roman" w:cs="Times New Roman"/>
          <w:b/>
          <w:sz w:val="24"/>
          <w:szCs w:val="24"/>
        </w:rPr>
        <w:t>3.2 American Declaration on the Rights of Indigenous Peoples</w:t>
      </w:r>
      <w:r>
        <w:rPr>
          <w:rFonts w:ascii="Times New Roman" w:eastAsia="Times New Roman" w:hAnsi="Times New Roman" w:cs="Times New Roman"/>
          <w:sz w:val="24"/>
          <w:szCs w:val="24"/>
        </w:rPr>
        <w:t>…………………...11</w:t>
      </w:r>
    </w:p>
    <w:p w14:paraId="023EA8C5" w14:textId="77777777" w:rsidR="00243E5B" w:rsidRDefault="00000000">
      <w:pPr>
        <w:spacing w:before="280"/>
        <w:ind w:left="720" w:right="165"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a. Article 13.1</w:t>
      </w:r>
      <w:r>
        <w:rPr>
          <w:rFonts w:ascii="Times New Roman" w:eastAsia="Times New Roman" w:hAnsi="Times New Roman" w:cs="Times New Roman"/>
          <w:sz w:val="24"/>
          <w:szCs w:val="24"/>
        </w:rPr>
        <w:t>.....................................................................................................11</w:t>
      </w:r>
    </w:p>
    <w:p w14:paraId="38DD4923" w14:textId="77777777" w:rsidR="00243E5B" w:rsidRDefault="00000000">
      <w:pPr>
        <w:spacing w:before="280"/>
        <w:ind w:left="720" w:right="165"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c. Article 23.2</w:t>
      </w:r>
      <w:r>
        <w:rPr>
          <w:rFonts w:ascii="Times New Roman" w:eastAsia="Times New Roman" w:hAnsi="Times New Roman" w:cs="Times New Roman"/>
          <w:sz w:val="24"/>
          <w:szCs w:val="24"/>
        </w:rPr>
        <w:t>.....................................................................................................13</w:t>
      </w:r>
    </w:p>
    <w:p w14:paraId="1C4B86B5" w14:textId="77777777" w:rsidR="00243E5B" w:rsidRDefault="00000000">
      <w:pPr>
        <w:spacing w:before="280"/>
        <w:ind w:right="165"/>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REQUEST FOR RELIEF</w:t>
      </w:r>
      <w:r>
        <w:rPr>
          <w:rFonts w:ascii="Times New Roman" w:eastAsia="Times New Roman" w:hAnsi="Times New Roman" w:cs="Times New Roman"/>
          <w:sz w:val="24"/>
          <w:szCs w:val="24"/>
        </w:rPr>
        <w:t xml:space="preserve">........................................................................................................15 </w:t>
      </w:r>
    </w:p>
    <w:p w14:paraId="187B80B5" w14:textId="77777777" w:rsidR="00243E5B" w:rsidRDefault="00243E5B">
      <w:pPr>
        <w:spacing w:before="280"/>
        <w:ind w:right="165"/>
        <w:jc w:val="center"/>
        <w:rPr>
          <w:rFonts w:ascii="Times New Roman" w:eastAsia="Times New Roman" w:hAnsi="Times New Roman" w:cs="Times New Roman"/>
          <w:sz w:val="24"/>
          <w:szCs w:val="24"/>
        </w:rPr>
      </w:pPr>
    </w:p>
    <w:p w14:paraId="55056702" w14:textId="77777777" w:rsidR="00243E5B" w:rsidRDefault="00000000">
      <w:pPr>
        <w:pStyle w:val="Heading1"/>
        <w:keepNext w:val="0"/>
        <w:keepLines w:val="0"/>
        <w:spacing w:before="80"/>
        <w:jc w:val="center"/>
        <w:rPr>
          <w:rFonts w:ascii="Times New Roman" w:eastAsia="Times New Roman" w:hAnsi="Times New Roman" w:cs="Times New Roman"/>
          <w:b/>
          <w:sz w:val="24"/>
          <w:szCs w:val="24"/>
          <w:u w:val="single"/>
        </w:rPr>
      </w:pPr>
      <w:bookmarkStart w:id="2" w:name="_ppccdv73o4k4" w:colFirst="0" w:colLast="0"/>
      <w:bookmarkEnd w:id="2"/>
      <w:r>
        <w:rPr>
          <w:rFonts w:ascii="Times New Roman" w:eastAsia="Times New Roman" w:hAnsi="Times New Roman" w:cs="Times New Roman"/>
          <w:b/>
          <w:sz w:val="24"/>
          <w:szCs w:val="24"/>
          <w:u w:val="single"/>
        </w:rPr>
        <w:t>INDEX OF AUTHORITIES</w:t>
      </w:r>
    </w:p>
    <w:p w14:paraId="4B4DADF7" w14:textId="77777777" w:rsidR="00243E5B" w:rsidRDefault="00000000">
      <w:pPr>
        <w:spacing w:before="20"/>
        <w:jc w:val="center"/>
        <w:rPr>
          <w:rFonts w:ascii="Times New Roman" w:eastAsia="Times New Roman" w:hAnsi="Times New Roman" w:cs="Times New Roman"/>
          <w:b/>
          <w:sz w:val="23"/>
          <w:szCs w:val="23"/>
        </w:rPr>
      </w:pPr>
      <w:r>
        <w:rPr>
          <w:rFonts w:ascii="Times New Roman" w:eastAsia="Times New Roman" w:hAnsi="Times New Roman" w:cs="Times New Roman"/>
          <w:b/>
          <w:sz w:val="23"/>
          <w:szCs w:val="23"/>
        </w:rPr>
        <w:t xml:space="preserve"> </w:t>
      </w:r>
    </w:p>
    <w:p w14:paraId="7E17A854" w14:textId="77777777" w:rsidR="00243E5B" w:rsidRDefault="00000000">
      <w:pPr>
        <w:pStyle w:val="Heading2"/>
        <w:keepNext w:val="0"/>
        <w:keepLines w:val="0"/>
        <w:spacing w:after="80"/>
        <w:rPr>
          <w:rFonts w:ascii="Times New Roman" w:eastAsia="Times New Roman" w:hAnsi="Times New Roman" w:cs="Times New Roman"/>
          <w:b/>
          <w:sz w:val="24"/>
          <w:szCs w:val="24"/>
          <w:u w:val="single"/>
        </w:rPr>
      </w:pPr>
      <w:bookmarkStart w:id="3" w:name="_xox00c21dywk" w:colFirst="0" w:colLast="0"/>
      <w:bookmarkEnd w:id="3"/>
      <w:r>
        <w:rPr>
          <w:rFonts w:ascii="Times New Roman" w:eastAsia="Times New Roman" w:hAnsi="Times New Roman" w:cs="Times New Roman"/>
          <w:b/>
          <w:sz w:val="24"/>
          <w:szCs w:val="24"/>
          <w:u w:val="single"/>
        </w:rPr>
        <w:t>International Agreements</w:t>
      </w:r>
    </w:p>
    <w:p w14:paraId="6CA1A948" w14:textId="77777777" w:rsidR="00243E5B"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0E81849" w14:textId="77777777" w:rsidR="00243E5B" w:rsidRDefault="0000000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American Convention on Human rights</w:t>
      </w:r>
      <w:r>
        <w:rPr>
          <w:rFonts w:ascii="Times New Roman" w:eastAsia="Times New Roman" w:hAnsi="Times New Roman" w:cs="Times New Roman"/>
          <w:b/>
          <w:sz w:val="24"/>
          <w:szCs w:val="24"/>
        </w:rPr>
        <w:t>.....................................................................................</w:t>
      </w:r>
    </w:p>
    <w:p w14:paraId="32F85601" w14:textId="77777777" w:rsidR="00243E5B"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C0821A7" w14:textId="77777777" w:rsidR="00243E5B" w:rsidRDefault="0000000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American Declaration on the Rights of Indigenous Peoples</w:t>
      </w:r>
      <w:r>
        <w:rPr>
          <w:rFonts w:ascii="Times New Roman" w:eastAsia="Times New Roman" w:hAnsi="Times New Roman" w:cs="Times New Roman"/>
          <w:b/>
          <w:sz w:val="24"/>
          <w:szCs w:val="24"/>
        </w:rPr>
        <w:t xml:space="preserve">….................................................. </w:t>
      </w:r>
    </w:p>
    <w:p w14:paraId="5EFFF3D6" w14:textId="77777777" w:rsidR="00243E5B"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C3A2F70" w14:textId="77777777" w:rsidR="00243E5B" w:rsidRDefault="0000000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American Declaration on the Rights and Duties of Man</w:t>
      </w:r>
      <w:r>
        <w:rPr>
          <w:rFonts w:ascii="Times New Roman" w:eastAsia="Times New Roman" w:hAnsi="Times New Roman" w:cs="Times New Roman"/>
          <w:b/>
          <w:sz w:val="24"/>
          <w:szCs w:val="24"/>
        </w:rPr>
        <w:t xml:space="preserve">................................................................  </w:t>
      </w:r>
    </w:p>
    <w:p w14:paraId="7F3A953B" w14:textId="77777777" w:rsidR="00243E5B" w:rsidRDefault="00000000">
      <w:pPr>
        <w:pStyle w:val="Heading2"/>
        <w:keepNext w:val="0"/>
        <w:keepLines w:val="0"/>
        <w:spacing w:after="80"/>
        <w:rPr>
          <w:rFonts w:ascii="Times New Roman" w:eastAsia="Times New Roman" w:hAnsi="Times New Roman" w:cs="Times New Roman"/>
          <w:b/>
          <w:sz w:val="24"/>
          <w:szCs w:val="24"/>
        </w:rPr>
      </w:pPr>
      <w:bookmarkStart w:id="4" w:name="_cuqjdgpea5eh" w:colFirst="0" w:colLast="0"/>
      <w:bookmarkEnd w:id="4"/>
      <w:r>
        <w:rPr>
          <w:rFonts w:ascii="Times New Roman" w:eastAsia="Times New Roman" w:hAnsi="Times New Roman" w:cs="Times New Roman"/>
          <w:b/>
          <w:sz w:val="24"/>
          <w:szCs w:val="24"/>
          <w:u w:val="single"/>
        </w:rPr>
        <w:t>Precedent</w:t>
      </w:r>
    </w:p>
    <w:p w14:paraId="057BE575" w14:textId="77777777" w:rsidR="00243E5B"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D1E7811" w14:textId="77777777" w:rsidR="00243E5B" w:rsidRDefault="00000000">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Sawhoyamaxa</w:t>
      </w:r>
      <w:proofErr w:type="spellEnd"/>
      <w:r>
        <w:rPr>
          <w:rFonts w:ascii="Times New Roman" w:eastAsia="Times New Roman" w:hAnsi="Times New Roman" w:cs="Times New Roman"/>
          <w:sz w:val="24"/>
          <w:szCs w:val="24"/>
        </w:rPr>
        <w:t xml:space="preserve"> Indigenous Community v. Paraguay</w:t>
      </w:r>
      <w:r>
        <w:rPr>
          <w:rFonts w:ascii="Times New Roman" w:eastAsia="Times New Roman" w:hAnsi="Times New Roman" w:cs="Times New Roman"/>
          <w:b/>
          <w:sz w:val="24"/>
          <w:szCs w:val="24"/>
        </w:rPr>
        <w:t>...............................................................</w:t>
      </w:r>
    </w:p>
    <w:p w14:paraId="14F117B8" w14:textId="77777777" w:rsidR="00243E5B" w:rsidRDefault="00243E5B">
      <w:pPr>
        <w:rPr>
          <w:rFonts w:ascii="Times New Roman" w:eastAsia="Times New Roman" w:hAnsi="Times New Roman" w:cs="Times New Roman"/>
          <w:sz w:val="24"/>
          <w:szCs w:val="24"/>
        </w:rPr>
      </w:pPr>
    </w:p>
    <w:p w14:paraId="0027A4EC" w14:textId="77777777" w:rsidR="00243E5B"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Last Temptation of Christ v. Chile</w:t>
      </w:r>
      <w:r>
        <w:rPr>
          <w:rFonts w:ascii="Times New Roman" w:eastAsia="Times New Roman" w:hAnsi="Times New Roman" w:cs="Times New Roman"/>
          <w:b/>
          <w:sz w:val="24"/>
          <w:szCs w:val="24"/>
        </w:rPr>
        <w:t>...............................................................</w:t>
      </w:r>
    </w:p>
    <w:p w14:paraId="0BEE9242" w14:textId="77777777" w:rsidR="00243E5B" w:rsidRDefault="00243E5B">
      <w:pPr>
        <w:rPr>
          <w:rFonts w:ascii="Times New Roman" w:eastAsia="Times New Roman" w:hAnsi="Times New Roman" w:cs="Times New Roman"/>
          <w:sz w:val="24"/>
          <w:szCs w:val="24"/>
        </w:rPr>
      </w:pPr>
    </w:p>
    <w:p w14:paraId="5A6D9B02" w14:textId="77777777" w:rsidR="00243E5B" w:rsidRDefault="00000000">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Garífuna</w:t>
      </w:r>
      <w:proofErr w:type="spellEnd"/>
      <w:r>
        <w:rPr>
          <w:rFonts w:ascii="Times New Roman" w:eastAsia="Times New Roman" w:hAnsi="Times New Roman" w:cs="Times New Roman"/>
          <w:sz w:val="24"/>
          <w:szCs w:val="24"/>
        </w:rPr>
        <w:t xml:space="preserve"> Punta Piedra Community and its Members v. Honduras</w:t>
      </w:r>
      <w:r>
        <w:rPr>
          <w:rFonts w:ascii="Times New Roman" w:eastAsia="Times New Roman" w:hAnsi="Times New Roman" w:cs="Times New Roman"/>
          <w:b/>
          <w:sz w:val="24"/>
          <w:szCs w:val="24"/>
        </w:rPr>
        <w:t>.................................................</w:t>
      </w:r>
    </w:p>
    <w:p w14:paraId="39E08A50" w14:textId="77777777" w:rsidR="00243E5B" w:rsidRDefault="00243E5B">
      <w:pPr>
        <w:rPr>
          <w:rFonts w:ascii="Times New Roman" w:eastAsia="Times New Roman" w:hAnsi="Times New Roman" w:cs="Times New Roman"/>
          <w:sz w:val="24"/>
          <w:szCs w:val="24"/>
        </w:rPr>
      </w:pPr>
    </w:p>
    <w:p w14:paraId="7626ED82" w14:textId="77777777" w:rsidR="00243E5B" w:rsidRDefault="00000000">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Kichwa</w:t>
      </w:r>
      <w:proofErr w:type="spellEnd"/>
      <w:r>
        <w:rPr>
          <w:rFonts w:ascii="Times New Roman" w:eastAsia="Times New Roman" w:hAnsi="Times New Roman" w:cs="Times New Roman"/>
          <w:sz w:val="24"/>
          <w:szCs w:val="24"/>
        </w:rPr>
        <w:t xml:space="preserve"> Indigenous People of Sarayaku v. Ecuador</w:t>
      </w:r>
      <w:r>
        <w:rPr>
          <w:rFonts w:ascii="Times New Roman" w:eastAsia="Times New Roman" w:hAnsi="Times New Roman" w:cs="Times New Roman"/>
          <w:b/>
          <w:sz w:val="24"/>
          <w:szCs w:val="24"/>
        </w:rPr>
        <w:t>...............................................................</w:t>
      </w:r>
    </w:p>
    <w:p w14:paraId="4E729B3F" w14:textId="77777777" w:rsidR="00243E5B" w:rsidRDefault="00000000">
      <w:pPr>
        <w:pStyle w:val="Heading2"/>
        <w:keepNext w:val="0"/>
        <w:keepLines w:val="0"/>
        <w:spacing w:after="80"/>
        <w:rPr>
          <w:rFonts w:ascii="Times New Roman" w:eastAsia="Times New Roman" w:hAnsi="Times New Roman" w:cs="Times New Roman"/>
          <w:b/>
          <w:sz w:val="24"/>
          <w:szCs w:val="24"/>
          <w:u w:val="single"/>
        </w:rPr>
      </w:pPr>
      <w:bookmarkStart w:id="5" w:name="_qvqxfg656m6w" w:colFirst="0" w:colLast="0"/>
      <w:bookmarkEnd w:id="5"/>
      <w:r>
        <w:rPr>
          <w:rFonts w:ascii="Times New Roman" w:eastAsia="Times New Roman" w:hAnsi="Times New Roman" w:cs="Times New Roman"/>
          <w:b/>
          <w:sz w:val="24"/>
          <w:szCs w:val="24"/>
          <w:u w:val="single"/>
        </w:rPr>
        <w:t>Hypothetical Clarification</w:t>
      </w:r>
    </w:p>
    <w:p w14:paraId="1DBAA604" w14:textId="77777777" w:rsidR="00243E5B" w:rsidRDefault="000000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C7FB109" w14:textId="77777777" w:rsidR="00243E5B"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Questions….......................................................................................................................... passim Hypothetical Case................................................................................................................ passim</w:t>
      </w:r>
      <w:r>
        <w:br w:type="page"/>
      </w:r>
    </w:p>
    <w:p w14:paraId="69B767FB" w14:textId="77777777" w:rsidR="00243E5B" w:rsidRDefault="00000000">
      <w:pPr>
        <w:pStyle w:val="Heading1"/>
        <w:keepNext w:val="0"/>
        <w:keepLines w:val="0"/>
        <w:spacing w:before="80"/>
        <w:jc w:val="center"/>
        <w:rPr>
          <w:rFonts w:ascii="Times New Roman" w:eastAsia="Times New Roman" w:hAnsi="Times New Roman" w:cs="Times New Roman"/>
          <w:sz w:val="24"/>
          <w:szCs w:val="24"/>
        </w:rPr>
      </w:pPr>
      <w:bookmarkStart w:id="6" w:name="_wfd3skewfbis" w:colFirst="0" w:colLast="0"/>
      <w:bookmarkEnd w:id="6"/>
      <w:r>
        <w:rPr>
          <w:rFonts w:ascii="Times New Roman" w:eastAsia="Times New Roman" w:hAnsi="Times New Roman" w:cs="Times New Roman"/>
          <w:b/>
          <w:sz w:val="24"/>
          <w:szCs w:val="24"/>
          <w:u w:val="single"/>
        </w:rPr>
        <w:t>STATEMENT OF FACTS</w:t>
      </w:r>
      <w:r>
        <w:rPr>
          <w:rFonts w:ascii="Times New Roman" w:eastAsia="Times New Roman" w:hAnsi="Times New Roman" w:cs="Times New Roman"/>
          <w:sz w:val="24"/>
          <w:szCs w:val="24"/>
        </w:rPr>
        <w:tab/>
      </w:r>
    </w:p>
    <w:p w14:paraId="3C1CED7D" w14:textId="4A9CA550" w:rsidR="00243E5B" w:rsidRDefault="00000000">
      <w:pPr>
        <w:spacing w:before="10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Republic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is a central South American country.</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Approximately 20</w:t>
      </w:r>
      <w:r w:rsidR="00425F13">
        <w:rPr>
          <w:rFonts w:ascii="Times New Roman" w:eastAsia="Times New Roman" w:hAnsi="Times New Roman" w:cs="Times New Roman"/>
          <w:sz w:val="24"/>
          <w:szCs w:val="24"/>
        </w:rPr>
        <w:t xml:space="preserve"> percent</w:t>
      </w:r>
      <w:r>
        <w:rPr>
          <w:rFonts w:ascii="Times New Roman" w:eastAsia="Times New Roman" w:hAnsi="Times New Roman" w:cs="Times New Roman"/>
          <w:sz w:val="24"/>
          <w:szCs w:val="24"/>
        </w:rPr>
        <w:t xml:space="preserve"> of the population in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is indigenous while another 70</w:t>
      </w:r>
      <w:r w:rsidR="00425F13">
        <w:rPr>
          <w:rFonts w:ascii="Times New Roman" w:eastAsia="Times New Roman" w:hAnsi="Times New Roman" w:cs="Times New Roman"/>
          <w:sz w:val="24"/>
          <w:szCs w:val="24"/>
        </w:rPr>
        <w:t xml:space="preserve"> percent</w:t>
      </w:r>
      <w:r>
        <w:rPr>
          <w:rFonts w:ascii="Times New Roman" w:eastAsia="Times New Roman" w:hAnsi="Times New Roman" w:cs="Times New Roman"/>
          <w:sz w:val="24"/>
          <w:szCs w:val="24"/>
        </w:rPr>
        <w:t xml:space="preserve"> identifies as Mestizo - a mixed race of white and indigenous heritage.</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is the sixth largest indigenous tribe in the entire country, with a population of 50,000 individuals.</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The largest </w:t>
      </w:r>
      <w:r w:rsidR="00425F13">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illage is called the Manni Village and is located along 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This </w:t>
      </w:r>
      <w:r w:rsidR="00425F13">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iver serves as not only a source of plentiful fish and bountiful harvest for the village but also serves as a part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tribe's religion which is tied closely to the rivers.</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 is recognized as a part of the indigenous people's lands as of the National Indigenous Rights Act of 1993 which recognizes the tribes' rights to their land.</w:t>
      </w:r>
      <w:r>
        <w:rPr>
          <w:rFonts w:ascii="Times New Roman" w:eastAsia="Times New Roman" w:hAnsi="Times New Roman" w:cs="Times New Roman"/>
          <w:sz w:val="24"/>
          <w:szCs w:val="24"/>
          <w:vertAlign w:val="superscript"/>
        </w:rPr>
        <w:footnoteReference w:id="6"/>
      </w:r>
    </w:p>
    <w:p w14:paraId="3CCF9E11" w14:textId="7BDD26B5" w:rsidR="00243E5B" w:rsidRDefault="00000000">
      <w:pPr>
        <w:spacing w:before="10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2005 the Martin Mining Company (MMC) </w:t>
      </w:r>
      <w:r w:rsidR="00425F13">
        <w:rPr>
          <w:rFonts w:ascii="Times New Roman" w:eastAsia="Times New Roman" w:hAnsi="Times New Roman" w:cs="Times New Roman"/>
          <w:sz w:val="24"/>
          <w:szCs w:val="24"/>
        </w:rPr>
        <w:t>conducted</w:t>
      </w:r>
      <w:r>
        <w:rPr>
          <w:rFonts w:ascii="Times New Roman" w:eastAsia="Times New Roman" w:hAnsi="Times New Roman" w:cs="Times New Roman"/>
          <w:sz w:val="24"/>
          <w:szCs w:val="24"/>
        </w:rPr>
        <w:t xml:space="preserve"> open, informal discussions with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w:t>
      </w:r>
      <w:r w:rsidR="00425F13">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n the topic of opening a </w:t>
      </w:r>
      <w:r w:rsidR="00425F13">
        <w:rPr>
          <w:rFonts w:ascii="Times New Roman" w:eastAsia="Times New Roman" w:hAnsi="Times New Roman" w:cs="Times New Roman"/>
          <w:sz w:val="24"/>
          <w:szCs w:val="24"/>
        </w:rPr>
        <w:t xml:space="preserve">bauxite </w:t>
      </w:r>
      <w:r>
        <w:rPr>
          <w:rFonts w:ascii="Times New Roman" w:eastAsia="Times New Roman" w:hAnsi="Times New Roman" w:cs="Times New Roman"/>
          <w:sz w:val="24"/>
          <w:szCs w:val="24"/>
        </w:rPr>
        <w:t xml:space="preserve">and lithium mine </w:t>
      </w:r>
      <w:r w:rsidR="00425F13">
        <w:rPr>
          <w:rFonts w:ascii="Times New Roman" w:eastAsia="Times New Roman" w:hAnsi="Times New Roman" w:cs="Times New Roman"/>
          <w:sz w:val="24"/>
          <w:szCs w:val="24"/>
        </w:rPr>
        <w:t>eight</w:t>
      </w:r>
      <w:r>
        <w:rPr>
          <w:rFonts w:ascii="Times New Roman" w:eastAsia="Times New Roman" w:hAnsi="Times New Roman" w:cs="Times New Roman"/>
          <w:sz w:val="24"/>
          <w:szCs w:val="24"/>
        </w:rPr>
        <w:t xml:space="preserve"> miles </w:t>
      </w:r>
      <w:r w:rsidR="00425F13">
        <w:rPr>
          <w:rFonts w:ascii="Times New Roman" w:eastAsia="Times New Roman" w:hAnsi="Times New Roman" w:cs="Times New Roman"/>
          <w:sz w:val="24"/>
          <w:szCs w:val="24"/>
        </w:rPr>
        <w:t>above</w:t>
      </w:r>
      <w:r>
        <w:rPr>
          <w:rFonts w:ascii="Times New Roman" w:eastAsia="Times New Roman" w:hAnsi="Times New Roman" w:cs="Times New Roman"/>
          <w:sz w:val="24"/>
          <w:szCs w:val="24"/>
        </w:rPr>
        <w:t xml:space="preserve"> the </w:t>
      </w:r>
      <w:r w:rsidR="00425F13">
        <w:rPr>
          <w:rFonts w:ascii="Times New Roman" w:eastAsia="Times New Roman" w:hAnsi="Times New Roman" w:cs="Times New Roman"/>
          <w:sz w:val="24"/>
          <w:szCs w:val="24"/>
        </w:rPr>
        <w:t xml:space="preserve">village of </w:t>
      </w:r>
      <w:r>
        <w:rPr>
          <w:rFonts w:ascii="Times New Roman" w:eastAsia="Times New Roman" w:hAnsi="Times New Roman" w:cs="Times New Roman"/>
          <w:sz w:val="24"/>
          <w:szCs w:val="24"/>
        </w:rPr>
        <w:t>Manni.</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Before the official opening of the </w:t>
      </w:r>
      <w:r w:rsidR="00425F13">
        <w:rPr>
          <w:rFonts w:ascii="Times New Roman" w:eastAsia="Times New Roman" w:hAnsi="Times New Roman" w:cs="Times New Roman"/>
          <w:sz w:val="24"/>
          <w:szCs w:val="24"/>
        </w:rPr>
        <w:t>mine</w:t>
      </w:r>
      <w:r>
        <w:rPr>
          <w:rFonts w:ascii="Times New Roman" w:eastAsia="Times New Roman" w:hAnsi="Times New Roman" w:cs="Times New Roman"/>
          <w:sz w:val="24"/>
          <w:szCs w:val="24"/>
        </w:rPr>
        <w:t xml:space="preserve">, there was an environmental study done on the land. </w:t>
      </w:r>
      <w:r w:rsidR="00425F13">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 conclusion of this study was that there were potential environmental risks to </w:t>
      </w:r>
      <w:r w:rsidR="00425F13">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min</w:t>
      </w:r>
      <w:r w:rsidR="00425F13">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 xml:space="preserve">opening. </w:t>
      </w:r>
      <w:r w:rsidR="00425F13">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 </w:t>
      </w:r>
      <w:r w:rsidR="00425F1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tate claims that this information was shared with the </w:t>
      </w:r>
      <w:proofErr w:type="spellStart"/>
      <w:r w:rsidR="00425F13">
        <w:rPr>
          <w:rFonts w:ascii="Times New Roman" w:eastAsia="Times New Roman" w:hAnsi="Times New Roman" w:cs="Times New Roman"/>
          <w:sz w:val="24"/>
          <w:szCs w:val="24"/>
        </w:rPr>
        <w:t>Benarnoldos</w:t>
      </w:r>
      <w:proofErr w:type="spellEnd"/>
      <w:r>
        <w:rPr>
          <w:rFonts w:ascii="Times New Roman" w:eastAsia="Times New Roman" w:hAnsi="Times New Roman" w:cs="Times New Roman"/>
          <w:sz w:val="24"/>
          <w:szCs w:val="24"/>
        </w:rPr>
        <w:t xml:space="preserve">, however, the </w:t>
      </w:r>
      <w:proofErr w:type="spellStart"/>
      <w:r w:rsidR="00425F13">
        <w:rPr>
          <w:rFonts w:ascii="Times New Roman" w:eastAsia="Times New Roman" w:hAnsi="Times New Roman" w:cs="Times New Roman"/>
          <w:sz w:val="24"/>
          <w:szCs w:val="24"/>
        </w:rPr>
        <w:t>Benarnoldos</w:t>
      </w:r>
      <w:proofErr w:type="spellEnd"/>
      <w:r w:rsidR="00425F13">
        <w:rPr>
          <w:rFonts w:ascii="Times New Roman" w:eastAsia="Times New Roman" w:hAnsi="Times New Roman" w:cs="Times New Roman"/>
          <w:sz w:val="24"/>
          <w:szCs w:val="24"/>
        </w:rPr>
        <w:t xml:space="preserve"> assert </w:t>
      </w:r>
      <w:r>
        <w:rPr>
          <w:rFonts w:ascii="Times New Roman" w:eastAsia="Times New Roman" w:hAnsi="Times New Roman" w:cs="Times New Roman"/>
          <w:sz w:val="24"/>
          <w:szCs w:val="24"/>
        </w:rPr>
        <w:t>they have been misled about that information.</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Despite the </w:t>
      </w:r>
      <w:r w:rsidR="00425F13">
        <w:rPr>
          <w:rFonts w:ascii="Times New Roman" w:eastAsia="Times New Roman" w:hAnsi="Times New Roman" w:cs="Times New Roman"/>
          <w:sz w:val="24"/>
          <w:szCs w:val="24"/>
        </w:rPr>
        <w:t>S</w:t>
      </w:r>
      <w:r>
        <w:rPr>
          <w:rFonts w:ascii="Times New Roman" w:eastAsia="Times New Roman" w:hAnsi="Times New Roman" w:cs="Times New Roman"/>
          <w:sz w:val="24"/>
          <w:szCs w:val="24"/>
        </w:rPr>
        <w:t>tate’s awareness of the potential environmental risks, there was not another check done on the environment</w:t>
      </w:r>
      <w:r w:rsidR="00425F13">
        <w:rPr>
          <w:rFonts w:ascii="Times New Roman" w:eastAsia="Times New Roman" w:hAnsi="Times New Roman" w:cs="Times New Roman"/>
          <w:sz w:val="24"/>
          <w:szCs w:val="24"/>
        </w:rPr>
        <w:t xml:space="preserve">, specifically the </w:t>
      </w:r>
      <w:proofErr w:type="spellStart"/>
      <w:r w:rsidR="00425F13">
        <w:rPr>
          <w:rFonts w:ascii="Times New Roman" w:eastAsia="Times New Roman" w:hAnsi="Times New Roman" w:cs="Times New Roman"/>
          <w:sz w:val="24"/>
          <w:szCs w:val="24"/>
        </w:rPr>
        <w:t>Trillos</w:t>
      </w:r>
      <w:proofErr w:type="spellEnd"/>
      <w:r w:rsidR="00425F13">
        <w:rPr>
          <w:rFonts w:ascii="Times New Roman" w:eastAsia="Times New Roman" w:hAnsi="Times New Roman" w:cs="Times New Roman"/>
          <w:sz w:val="24"/>
          <w:szCs w:val="24"/>
        </w:rPr>
        <w:t xml:space="preserve"> river, </w:t>
      </w:r>
      <w:r>
        <w:rPr>
          <w:rFonts w:ascii="Times New Roman" w:eastAsia="Times New Roman" w:hAnsi="Times New Roman" w:cs="Times New Roman"/>
          <w:sz w:val="24"/>
          <w:szCs w:val="24"/>
        </w:rPr>
        <w:t xml:space="preserve"> until 2013 when there was news of environmental damage already occurring.</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At the point in time when the </w:t>
      </w:r>
      <w:r w:rsidR="00425F1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tate finally became aware of the damage that the mine had done to 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w:t>
      </w:r>
      <w:r w:rsidR="000578CD">
        <w:rPr>
          <w:rFonts w:ascii="Times New Roman" w:eastAsia="Times New Roman" w:hAnsi="Times New Roman" w:cs="Times New Roman"/>
          <w:sz w:val="24"/>
          <w:szCs w:val="24"/>
        </w:rPr>
        <w:t xml:space="preserve"> in 2013</w:t>
      </w:r>
      <w:r>
        <w:rPr>
          <w:rFonts w:ascii="Times New Roman" w:eastAsia="Times New Roman" w:hAnsi="Times New Roman" w:cs="Times New Roman"/>
          <w:sz w:val="24"/>
          <w:szCs w:val="24"/>
        </w:rPr>
        <w:t xml:space="preserve">, </w:t>
      </w:r>
      <w:r w:rsidR="00425F13">
        <w:rPr>
          <w:rFonts w:ascii="Times New Roman" w:eastAsia="Times New Roman" w:hAnsi="Times New Roman" w:cs="Times New Roman"/>
          <w:sz w:val="24"/>
          <w:szCs w:val="24"/>
        </w:rPr>
        <w:t xml:space="preserve">an algae bloom had depleted </w:t>
      </w:r>
      <w:r w:rsidR="000578CD">
        <w:rPr>
          <w:rFonts w:ascii="Times New Roman" w:eastAsia="Times New Roman" w:hAnsi="Times New Roman" w:cs="Times New Roman"/>
          <w:sz w:val="24"/>
          <w:szCs w:val="24"/>
        </w:rPr>
        <w:t xml:space="preserve"> oxygen in the water and killed all other living things. The algae bloom covered </w:t>
      </w:r>
      <w:r>
        <w:rPr>
          <w:rFonts w:ascii="Times New Roman" w:eastAsia="Times New Roman" w:hAnsi="Times New Roman" w:cs="Times New Roman"/>
          <w:sz w:val="24"/>
          <w:szCs w:val="24"/>
        </w:rPr>
        <w:t>the river’s surface for ten months of the year.</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w:t>
      </w:r>
      <w:r w:rsidR="000578CD">
        <w:rPr>
          <w:rFonts w:ascii="Times New Roman" w:eastAsia="Times New Roman" w:hAnsi="Times New Roman" w:cs="Times New Roman"/>
          <w:sz w:val="24"/>
          <w:szCs w:val="24"/>
        </w:rPr>
        <w:t xml:space="preserve">The State made the report declaring the </w:t>
      </w:r>
      <w:proofErr w:type="gramStart"/>
      <w:r w:rsidR="000578CD">
        <w:rPr>
          <w:rFonts w:ascii="Times New Roman" w:eastAsia="Times New Roman" w:hAnsi="Times New Roman" w:cs="Times New Roman"/>
          <w:sz w:val="24"/>
          <w:szCs w:val="24"/>
        </w:rPr>
        <w:t>river  unfit</w:t>
      </w:r>
      <w:proofErr w:type="gramEnd"/>
      <w:r w:rsidR="000578CD">
        <w:rPr>
          <w:rFonts w:ascii="Times New Roman" w:eastAsia="Times New Roman" w:hAnsi="Times New Roman" w:cs="Times New Roman"/>
          <w:sz w:val="24"/>
          <w:szCs w:val="24"/>
        </w:rPr>
        <w:t xml:space="preserve"> for human consumption or contact one year after the report. </w:t>
      </w:r>
    </w:p>
    <w:p w14:paraId="03EFBADC" w14:textId="1AF83952" w:rsidR="00243E5B" w:rsidRDefault="00000000">
      <w:pPr>
        <w:spacing w:before="10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Once this was discovered, the state put up several signs around the water, particularly in high-traffic areas.</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There was one notable attempt by the state to fix the damage that had been done by itself and the MMC - the state being culpable due to the fact that it had a 6</w:t>
      </w:r>
      <w:r w:rsidR="000578CD">
        <w:rPr>
          <w:rFonts w:ascii="Times New Roman" w:eastAsia="Times New Roman" w:hAnsi="Times New Roman" w:cs="Times New Roman"/>
          <w:sz w:val="24"/>
          <w:szCs w:val="24"/>
        </w:rPr>
        <w:t xml:space="preserve">o percent </w:t>
      </w:r>
      <w:r>
        <w:rPr>
          <w:rFonts w:ascii="Times New Roman" w:eastAsia="Times New Roman" w:hAnsi="Times New Roman" w:cs="Times New Roman"/>
          <w:sz w:val="24"/>
          <w:szCs w:val="24"/>
        </w:rPr>
        <w:t xml:space="preserve"> stake in the company.</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This attempt occurred in 2016,  during which the river was injected with ozone to try and rejuvenate it to its original oxygenated levels. By 2018 this had been deemed a failure and the state, therefore, decided to move the river.</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Shortly thereafter, the river was </w:t>
      </w:r>
      <w:proofErr w:type="gramStart"/>
      <w:r>
        <w:rPr>
          <w:rFonts w:ascii="Times New Roman" w:eastAsia="Times New Roman" w:hAnsi="Times New Roman" w:cs="Times New Roman"/>
          <w:sz w:val="24"/>
          <w:szCs w:val="24"/>
        </w:rPr>
        <w:t>diverted</w:t>
      </w:r>
      <w:proofErr w:type="gramEnd"/>
      <w:r>
        <w:rPr>
          <w:rFonts w:ascii="Times New Roman" w:eastAsia="Times New Roman" w:hAnsi="Times New Roman" w:cs="Times New Roman"/>
          <w:sz w:val="24"/>
          <w:szCs w:val="24"/>
        </w:rPr>
        <w:t xml:space="preserve"> and an ecotourism location was quickly opened up. The ecotourism resort and the several park installations have since turned a profit in 2022.</w:t>
      </w:r>
      <w:r>
        <w:rPr>
          <w:rFonts w:ascii="Times New Roman" w:eastAsia="Times New Roman" w:hAnsi="Times New Roman" w:cs="Times New Roman"/>
          <w:sz w:val="24"/>
          <w:szCs w:val="24"/>
          <w:vertAlign w:val="superscript"/>
        </w:rPr>
        <w:footnoteReference w:id="14"/>
      </w:r>
    </w:p>
    <w:p w14:paraId="1EE044BE" w14:textId="0E887A7E" w:rsidR="00243E5B" w:rsidRDefault="00000000">
      <w:pPr>
        <w:spacing w:before="10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movement of 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 was not something that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confirmed nor was consulted on. The river itself has a significant cultural impact on this tribe, specifically in its location. The location </w:t>
      </w:r>
      <w:r w:rsidR="000578CD">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important to various tribal festivals and rituals which are observed in 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 One example would be the Manni annual Prayer to the Waters, which is the most </w:t>
      </w:r>
      <w:r w:rsidR="000578CD">
        <w:rPr>
          <w:rFonts w:ascii="Times New Roman" w:eastAsia="Times New Roman" w:hAnsi="Times New Roman" w:cs="Times New Roman"/>
          <w:sz w:val="24"/>
          <w:szCs w:val="24"/>
        </w:rPr>
        <w:t xml:space="preserve">significant </w:t>
      </w:r>
      <w:r>
        <w:rPr>
          <w:rFonts w:ascii="Times New Roman" w:eastAsia="Times New Roman" w:hAnsi="Times New Roman" w:cs="Times New Roman"/>
          <w:sz w:val="24"/>
          <w:szCs w:val="24"/>
        </w:rPr>
        <w:t>tribal religious event</w:t>
      </w:r>
      <w:r w:rsidR="000578CD">
        <w:rPr>
          <w:rFonts w:ascii="Times New Roman" w:eastAsia="Times New Roman" w:hAnsi="Times New Roman" w:cs="Times New Roman"/>
          <w:sz w:val="24"/>
          <w:szCs w:val="24"/>
        </w:rPr>
        <w:t xml:space="preserve"> during the year. </w:t>
      </w:r>
      <w:r>
        <w:rPr>
          <w:rFonts w:ascii="Times New Roman" w:eastAsia="Times New Roman" w:hAnsi="Times New Roman" w:cs="Times New Roman"/>
          <w:sz w:val="24"/>
          <w:szCs w:val="24"/>
        </w:rPr>
        <w:t xml:space="preserve"> Pilgrims from other villages reach the river </w:t>
      </w:r>
      <w:proofErr w:type="gramStart"/>
      <w:r>
        <w:rPr>
          <w:rFonts w:ascii="Times New Roman" w:eastAsia="Times New Roman" w:hAnsi="Times New Roman" w:cs="Times New Roman"/>
          <w:sz w:val="24"/>
          <w:szCs w:val="24"/>
        </w:rPr>
        <w:t xml:space="preserve">specifically </w:t>
      </w:r>
      <w:r w:rsidR="007E2834">
        <w:rPr>
          <w:rFonts w:ascii="Times New Roman" w:eastAsia="Times New Roman" w:hAnsi="Times New Roman" w:cs="Times New Roman"/>
          <w:sz w:val="24"/>
          <w:szCs w:val="24"/>
        </w:rPr>
        <w:t xml:space="preserve"> at</w:t>
      </w:r>
      <w:proofErr w:type="gramEnd"/>
      <w:r w:rsidR="007E28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Manni, where villagers ritually cleanse themselves the river and drink fermented brewed drink from the river and local plants.</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As such the tribe had a right to be consulted on this matter as per the indigenous protection act of 2011 which added Article 5 to the National Indigenous Rights Act of 1993. In this article, it is stated that all indigenous tribes have the right to be consulted on programs that may be detrimental to the culture of the indigenous tribes.</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w:t>
      </w:r>
    </w:p>
    <w:p w14:paraId="1CB9F70E" w14:textId="1D0C508C" w:rsidR="00243E5B" w:rsidRDefault="00000000">
      <w:pPr>
        <w:spacing w:before="10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result,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filed legal complaints against the Republic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and the MMC, claiming that there were actions of pollution and attempts to clean up this pollution without regard for the religious rights of the tribe.</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xml:space="preserve"> The case was heard from November 2 to 5 And the Provincial Court found in favor of the indigenous peoples.</w:t>
      </w:r>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xml:space="preserve"> MMC appealed the decision at the </w:t>
      </w:r>
      <w:r w:rsidR="007E2834">
        <w:rPr>
          <w:rFonts w:ascii="Times New Roman" w:eastAsia="Times New Roman" w:hAnsi="Times New Roman" w:cs="Times New Roman"/>
          <w:sz w:val="24"/>
          <w:szCs w:val="24"/>
        </w:rPr>
        <w:t>S</w:t>
      </w:r>
      <w:r>
        <w:rPr>
          <w:rFonts w:ascii="Times New Roman" w:eastAsia="Times New Roman" w:hAnsi="Times New Roman" w:cs="Times New Roman"/>
          <w:sz w:val="24"/>
          <w:szCs w:val="24"/>
        </w:rPr>
        <w:t>uper</w:t>
      </w:r>
      <w:r w:rsidR="007E2834">
        <w:rPr>
          <w:rFonts w:ascii="Times New Roman" w:eastAsia="Times New Roman" w:hAnsi="Times New Roman" w:cs="Times New Roman"/>
          <w:sz w:val="24"/>
          <w:szCs w:val="24"/>
        </w:rPr>
        <w:t>-P</w:t>
      </w:r>
      <w:r>
        <w:rPr>
          <w:rFonts w:ascii="Times New Roman" w:eastAsia="Times New Roman" w:hAnsi="Times New Roman" w:cs="Times New Roman"/>
          <w:sz w:val="24"/>
          <w:szCs w:val="24"/>
        </w:rPr>
        <w:t>rovincial appellate court and the decision was overturned in March 2022.</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After being denied a trial at the national court level, the </w:t>
      </w:r>
      <w:proofErr w:type="spellStart"/>
      <w:r>
        <w:rPr>
          <w:rFonts w:ascii="Times New Roman" w:eastAsia="Times New Roman" w:hAnsi="Times New Roman" w:cs="Times New Roman"/>
          <w:sz w:val="24"/>
          <w:szCs w:val="24"/>
        </w:rPr>
        <w:t>Benarnaldos</w:t>
      </w:r>
      <w:proofErr w:type="spellEnd"/>
      <w:r>
        <w:rPr>
          <w:rFonts w:ascii="Times New Roman" w:eastAsia="Times New Roman" w:hAnsi="Times New Roman" w:cs="Times New Roman"/>
          <w:sz w:val="24"/>
          <w:szCs w:val="24"/>
        </w:rPr>
        <w:t xml:space="preserve"> tribe was given financial assistance by Rights and Resources International, a nonprofit organization focused on assisting indigenous peoples in maintaining their rights to their resources.</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With this financial assistance,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was able to file an application with the Inter-American Commission on Human Rights(IACHR).</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w:t>
      </w:r>
    </w:p>
    <w:p w14:paraId="2547993F" w14:textId="77777777" w:rsidR="00243E5B" w:rsidRDefault="00000000">
      <w:pPr>
        <w:spacing w:before="100" w:line="480" w:lineRule="auto"/>
        <w:ind w:firstLine="720"/>
      </w:pPr>
      <w:r>
        <w:br w:type="page"/>
      </w:r>
    </w:p>
    <w:p w14:paraId="46CED277" w14:textId="77777777" w:rsidR="00243E5B" w:rsidRDefault="00000000">
      <w:pPr>
        <w:pStyle w:val="Heading1"/>
        <w:keepNext w:val="0"/>
        <w:keepLines w:val="0"/>
        <w:spacing w:before="100" w:after="0"/>
        <w:jc w:val="center"/>
        <w:rPr>
          <w:rFonts w:ascii="Times New Roman" w:eastAsia="Times New Roman" w:hAnsi="Times New Roman" w:cs="Times New Roman"/>
          <w:b/>
          <w:sz w:val="24"/>
          <w:szCs w:val="24"/>
          <w:u w:val="single"/>
        </w:rPr>
      </w:pPr>
      <w:bookmarkStart w:id="7" w:name="_dntp0rflxbo8" w:colFirst="0" w:colLast="0"/>
      <w:bookmarkEnd w:id="7"/>
      <w:r>
        <w:rPr>
          <w:rFonts w:ascii="Times New Roman" w:eastAsia="Times New Roman" w:hAnsi="Times New Roman" w:cs="Times New Roman"/>
          <w:b/>
          <w:sz w:val="24"/>
          <w:szCs w:val="24"/>
          <w:u w:val="single"/>
        </w:rPr>
        <w:t>LEGAL ANALYSIS</w:t>
      </w:r>
    </w:p>
    <w:p w14:paraId="076CEB23" w14:textId="77777777" w:rsidR="00243E5B" w:rsidRDefault="00000000">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 xml:space="preserve"> </w:t>
      </w:r>
    </w:p>
    <w:p w14:paraId="78855143" w14:textId="77777777" w:rsidR="00243E5B" w:rsidRDefault="00000000">
      <w:pPr>
        <w:pStyle w:val="Heading2"/>
        <w:keepNext w:val="0"/>
        <w:keepLines w:val="0"/>
        <w:spacing w:before="100" w:after="0"/>
        <w:jc w:val="both"/>
        <w:rPr>
          <w:rFonts w:ascii="Times New Roman" w:eastAsia="Times New Roman" w:hAnsi="Times New Roman" w:cs="Times New Roman"/>
          <w:b/>
          <w:sz w:val="24"/>
          <w:szCs w:val="24"/>
          <w:u w:val="single"/>
        </w:rPr>
      </w:pPr>
      <w:bookmarkStart w:id="8" w:name="_prjctb1y5jpm" w:colFirst="0" w:colLast="0"/>
      <w:bookmarkEnd w:id="8"/>
      <w:r>
        <w:rPr>
          <w:rFonts w:ascii="Times New Roman" w:eastAsia="Times New Roman" w:hAnsi="Times New Roman" w:cs="Times New Roman"/>
          <w:b/>
          <w:sz w:val="24"/>
          <w:szCs w:val="24"/>
        </w:rPr>
        <w:t>I.</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u w:val="single"/>
        </w:rPr>
        <w:t>Admissibility</w:t>
      </w:r>
    </w:p>
    <w:p w14:paraId="2D8B7658" w14:textId="77777777" w:rsidR="00243E5B" w:rsidRDefault="00000000">
      <w:pPr>
        <w:pStyle w:val="Heading3"/>
        <w:rPr>
          <w:rFonts w:ascii="Times New Roman" w:eastAsia="Times New Roman" w:hAnsi="Times New Roman" w:cs="Times New Roman"/>
          <w:i/>
          <w:sz w:val="24"/>
          <w:szCs w:val="24"/>
        </w:rPr>
      </w:pPr>
      <w:bookmarkStart w:id="9" w:name="_707u01rb2f2q" w:colFirst="0" w:colLast="0"/>
      <w:bookmarkEnd w:id="9"/>
      <w:proofErr w:type="gramStart"/>
      <w:r>
        <w:rPr>
          <w:rFonts w:ascii="Times New Roman" w:eastAsia="Times New Roman" w:hAnsi="Times New Roman" w:cs="Times New Roman"/>
          <w:i/>
          <w:sz w:val="24"/>
          <w:szCs w:val="24"/>
        </w:rPr>
        <w:t>1.1  Statement</w:t>
      </w:r>
      <w:proofErr w:type="gramEnd"/>
      <w:r>
        <w:rPr>
          <w:rFonts w:ascii="Times New Roman" w:eastAsia="Times New Roman" w:hAnsi="Times New Roman" w:cs="Times New Roman"/>
          <w:i/>
          <w:sz w:val="24"/>
          <w:szCs w:val="24"/>
        </w:rPr>
        <w:t xml:space="preserve"> of Jurisdiction</w:t>
      </w:r>
    </w:p>
    <w:p w14:paraId="5A47E350" w14:textId="77777777" w:rsidR="00243E5B"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2E849A2" w14:textId="77777777"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Republic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became the founding member of the Organization of American States (OAS) in 1948 and has recognized the jurisdiction of the Inter-American Court of Human Rights (IACHR) since 1981.</w:t>
      </w:r>
      <w:r>
        <w:rPr>
          <w:rFonts w:ascii="Times New Roman" w:eastAsia="Times New Roman" w:hAnsi="Times New Roman" w:cs="Times New Roman"/>
          <w:sz w:val="24"/>
          <w:szCs w:val="24"/>
          <w:vertAlign w:val="superscript"/>
        </w:rPr>
        <w:footnoteReference w:id="22"/>
      </w:r>
    </w:p>
    <w:p w14:paraId="745D8FF5" w14:textId="77777777" w:rsidR="00243E5B" w:rsidRDefault="00000000">
      <w:pPr>
        <w:pStyle w:val="Heading3"/>
        <w:spacing w:line="480" w:lineRule="auto"/>
        <w:rPr>
          <w:rFonts w:ascii="Times New Roman" w:eastAsia="Times New Roman" w:hAnsi="Times New Roman" w:cs="Times New Roman"/>
          <w:i/>
          <w:sz w:val="24"/>
          <w:szCs w:val="24"/>
        </w:rPr>
      </w:pPr>
      <w:bookmarkStart w:id="10" w:name="_qknd3gmz7ye" w:colFirst="0" w:colLast="0"/>
      <w:bookmarkEnd w:id="10"/>
      <w:r>
        <w:rPr>
          <w:rFonts w:ascii="Times New Roman" w:eastAsia="Times New Roman" w:hAnsi="Times New Roman" w:cs="Times New Roman"/>
          <w:i/>
          <w:sz w:val="24"/>
          <w:szCs w:val="24"/>
        </w:rPr>
        <w:t>1.2 Exhaustion of Domestic Remedies</w:t>
      </w:r>
    </w:p>
    <w:p w14:paraId="7EFA5D8D" w14:textId="292D7A35" w:rsidR="00243E5B"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The case was initially filed as a formal complaint to the provincial courts. The claim was that the Republic of </w:t>
      </w:r>
      <w:proofErr w:type="spellStart"/>
      <w:r>
        <w:rPr>
          <w:rFonts w:ascii="Times New Roman" w:eastAsia="Times New Roman" w:hAnsi="Times New Roman" w:cs="Times New Roman"/>
          <w:sz w:val="24"/>
          <w:szCs w:val="24"/>
        </w:rPr>
        <w:t>Supleevia</w:t>
      </w:r>
      <w:proofErr w:type="spellEnd"/>
      <w:r>
        <w:rPr>
          <w:rFonts w:ascii="Times New Roman" w:eastAsia="Times New Roman" w:hAnsi="Times New Roman" w:cs="Times New Roman"/>
          <w:sz w:val="24"/>
          <w:szCs w:val="24"/>
        </w:rPr>
        <w:t xml:space="preserve"> and MMC had acted inappropriately by not only polluting the waters but by also acting without regard for the religious rights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 xml:space="preserve"> This court found in favor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on November 5, 2021.</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MMC filed an appeal to the Super-Provincial Court, citing money that they had donated to the rejuvenation programs and river relocation program.</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The Super-Provincial Court overturned the decision of the provincial court in March, 2022. The tribe filed once again with the National </w:t>
      </w:r>
      <w:r w:rsidR="007E2834">
        <w:rPr>
          <w:rFonts w:ascii="Times New Roman" w:eastAsia="Times New Roman" w:hAnsi="Times New Roman" w:cs="Times New Roman"/>
          <w:sz w:val="24"/>
          <w:szCs w:val="24"/>
        </w:rPr>
        <w:t>Appellate</w:t>
      </w:r>
      <w:r>
        <w:rPr>
          <w:rFonts w:ascii="Times New Roman" w:eastAsia="Times New Roman" w:hAnsi="Times New Roman" w:cs="Times New Roman"/>
          <w:sz w:val="24"/>
          <w:szCs w:val="24"/>
        </w:rPr>
        <w:t xml:space="preserve"> Court on March 20, </w:t>
      </w:r>
      <w:proofErr w:type="gramStart"/>
      <w:r>
        <w:rPr>
          <w:rFonts w:ascii="Times New Roman" w:eastAsia="Times New Roman" w:hAnsi="Times New Roman" w:cs="Times New Roman"/>
          <w:sz w:val="24"/>
          <w:szCs w:val="24"/>
        </w:rPr>
        <w:t>2022</w:t>
      </w:r>
      <w:proofErr w:type="gramEnd"/>
      <w:r>
        <w:rPr>
          <w:rFonts w:ascii="Times New Roman" w:eastAsia="Times New Roman" w:hAnsi="Times New Roman" w:cs="Times New Roman"/>
          <w:sz w:val="24"/>
          <w:szCs w:val="24"/>
        </w:rPr>
        <w:t xml:space="preserve"> but the court refused to hear the case.</w:t>
      </w:r>
      <w:r>
        <w:rPr>
          <w:rFonts w:ascii="Times New Roman" w:eastAsia="Times New Roman" w:hAnsi="Times New Roman" w:cs="Times New Roman"/>
          <w:sz w:val="24"/>
          <w:szCs w:val="24"/>
          <w:vertAlign w:val="superscript"/>
        </w:rPr>
        <w:footnoteReference w:id="26"/>
      </w:r>
      <w:r>
        <w:rPr>
          <w:rFonts w:ascii="Times New Roman" w:eastAsia="Times New Roman" w:hAnsi="Times New Roman" w:cs="Times New Roman"/>
          <w:sz w:val="24"/>
          <w:szCs w:val="24"/>
        </w:rPr>
        <w:t xml:space="preserve"> The court backed this decision by </w:t>
      </w:r>
      <w:r w:rsidR="007E2834">
        <w:rPr>
          <w:rFonts w:ascii="Times New Roman" w:eastAsia="Times New Roman" w:hAnsi="Times New Roman" w:cs="Times New Roman"/>
          <w:sz w:val="24"/>
          <w:szCs w:val="24"/>
        </w:rPr>
        <w:t xml:space="preserve">ruling </w:t>
      </w:r>
      <w:r>
        <w:rPr>
          <w:rFonts w:ascii="Times New Roman" w:eastAsia="Times New Roman" w:hAnsi="Times New Roman" w:cs="Times New Roman"/>
          <w:sz w:val="24"/>
          <w:szCs w:val="24"/>
        </w:rPr>
        <w:t xml:space="preserve">that there was not enough evidence </w:t>
      </w:r>
      <w:r w:rsidR="007E2834">
        <w:rPr>
          <w:rFonts w:ascii="Times New Roman" w:eastAsia="Times New Roman" w:hAnsi="Times New Roman" w:cs="Times New Roman"/>
          <w:sz w:val="24"/>
          <w:szCs w:val="24"/>
        </w:rPr>
        <w:t xml:space="preserve">for </w:t>
      </w:r>
      <w:r>
        <w:rPr>
          <w:rFonts w:ascii="Times New Roman" w:eastAsia="Times New Roman" w:hAnsi="Times New Roman" w:cs="Times New Roman"/>
          <w:sz w:val="24"/>
          <w:szCs w:val="24"/>
        </w:rPr>
        <w:t xml:space="preserve">another appeal.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has exhausted all domestic remedies and is pursuing justice in the IACHR with financial assistance from a non-profit, indigenous resource rights group called Rights and Resources International.</w:t>
      </w:r>
      <w:r>
        <w:rPr>
          <w:rFonts w:ascii="Times New Roman" w:eastAsia="Times New Roman" w:hAnsi="Times New Roman" w:cs="Times New Roman"/>
          <w:sz w:val="24"/>
          <w:szCs w:val="24"/>
          <w:vertAlign w:val="superscript"/>
        </w:rPr>
        <w:footnoteReference w:id="27"/>
      </w:r>
      <w:r>
        <w:br w:type="page"/>
      </w:r>
    </w:p>
    <w:p w14:paraId="65E3E541" w14:textId="77777777" w:rsidR="00243E5B" w:rsidRDefault="00000000">
      <w:pPr>
        <w:pStyle w:val="Heading2"/>
        <w:spacing w:line="480" w:lineRule="auto"/>
        <w:rPr>
          <w:rFonts w:ascii="Times New Roman" w:eastAsia="Times New Roman" w:hAnsi="Times New Roman" w:cs="Times New Roman"/>
          <w:b/>
          <w:sz w:val="24"/>
          <w:szCs w:val="24"/>
          <w:u w:val="single"/>
        </w:rPr>
      </w:pPr>
      <w:bookmarkStart w:id="11" w:name="_hq8i2nayiu5h" w:colFirst="0" w:colLast="0"/>
      <w:bookmarkEnd w:id="11"/>
      <w:r>
        <w:rPr>
          <w:rFonts w:ascii="Times New Roman" w:eastAsia="Times New Roman" w:hAnsi="Times New Roman" w:cs="Times New Roman"/>
          <w:b/>
          <w:sz w:val="24"/>
          <w:szCs w:val="24"/>
        </w:rPr>
        <w:t>II.</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Violations</w:t>
      </w:r>
    </w:p>
    <w:p w14:paraId="72DED257" w14:textId="77777777" w:rsidR="00243E5B" w:rsidRDefault="00000000">
      <w:pPr>
        <w:pStyle w:val="Heading3"/>
        <w:rPr>
          <w:rFonts w:ascii="Times New Roman" w:eastAsia="Times New Roman" w:hAnsi="Times New Roman" w:cs="Times New Roman"/>
          <w:i/>
          <w:sz w:val="24"/>
          <w:szCs w:val="24"/>
        </w:rPr>
      </w:pPr>
      <w:bookmarkStart w:id="12" w:name="_mufjvaos6a55" w:colFirst="0" w:colLast="0"/>
      <w:bookmarkEnd w:id="12"/>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2.1 American Convention on Human Rights</w:t>
      </w:r>
    </w:p>
    <w:p w14:paraId="69384ABD" w14:textId="77777777"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Petitioner asserts the violations of the American Convention on Human Rights, Articles 1 and 12, and consequently requests that the Court order the State to perform </w:t>
      </w:r>
      <w:r>
        <w:rPr>
          <w:rFonts w:ascii="Times New Roman" w:eastAsia="Times New Roman" w:hAnsi="Times New Roman" w:cs="Times New Roman"/>
          <w:i/>
          <w:sz w:val="24"/>
          <w:szCs w:val="24"/>
        </w:rPr>
        <w:t xml:space="preserve">restitutio in integrum, </w:t>
      </w:r>
      <w:r>
        <w:rPr>
          <w:rFonts w:ascii="Times New Roman" w:eastAsia="Times New Roman" w:hAnsi="Times New Roman" w:cs="Times New Roman"/>
          <w:sz w:val="24"/>
          <w:szCs w:val="24"/>
        </w:rPr>
        <w:t xml:space="preserve">in line with this convention. </w:t>
      </w:r>
    </w:p>
    <w:p w14:paraId="2F982DAC" w14:textId="77777777" w:rsidR="00243E5B" w:rsidRDefault="00000000">
      <w:pPr>
        <w:pStyle w:val="Heading3"/>
        <w:spacing w:line="480" w:lineRule="auto"/>
        <w:rPr>
          <w:rFonts w:ascii="Times New Roman" w:eastAsia="Times New Roman" w:hAnsi="Times New Roman" w:cs="Times New Roman"/>
          <w:i/>
          <w:sz w:val="24"/>
          <w:szCs w:val="24"/>
        </w:rPr>
      </w:pPr>
      <w:bookmarkStart w:id="13" w:name="_s2cr4w6k943" w:colFirst="0" w:colLast="0"/>
      <w:bookmarkEnd w:id="13"/>
      <w:r>
        <w:rPr>
          <w:rFonts w:ascii="Times New Roman" w:eastAsia="Times New Roman" w:hAnsi="Times New Roman" w:cs="Times New Roman"/>
          <w:i/>
          <w:sz w:val="24"/>
          <w:szCs w:val="24"/>
        </w:rPr>
        <w:t>2.2 American Declaration of the Rights and Duties of Man</w:t>
      </w:r>
    </w:p>
    <w:p w14:paraId="7C1CE05E" w14:textId="77777777"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Petitioner also alleges violations of Articles 3 and 29 of the American Declaration.</w:t>
      </w:r>
    </w:p>
    <w:p w14:paraId="7AD881E3" w14:textId="77777777" w:rsidR="00243E5B" w:rsidRDefault="00000000">
      <w:pPr>
        <w:pStyle w:val="Heading3"/>
        <w:spacing w:line="480" w:lineRule="auto"/>
      </w:pPr>
      <w:bookmarkStart w:id="14" w:name="_tflhw8uiyzm4" w:colFirst="0" w:colLast="0"/>
      <w:bookmarkEnd w:id="14"/>
      <w:r>
        <w:rPr>
          <w:rFonts w:ascii="Times New Roman" w:eastAsia="Times New Roman" w:hAnsi="Times New Roman" w:cs="Times New Roman"/>
          <w:i/>
          <w:sz w:val="24"/>
          <w:szCs w:val="24"/>
        </w:rPr>
        <w:t>2.3 American Declaration on the Rights of Indigenous Peoples</w:t>
      </w:r>
    </w:p>
    <w:p w14:paraId="5EFBD886" w14:textId="77777777" w:rsidR="00243E5B" w:rsidRDefault="00000000">
      <w:pPr>
        <w:spacing w:line="480" w:lineRule="auto"/>
        <w:ind w:firstLine="720"/>
      </w:pPr>
      <w:r>
        <w:rPr>
          <w:rFonts w:ascii="Times New Roman" w:eastAsia="Times New Roman" w:hAnsi="Times New Roman" w:cs="Times New Roman"/>
          <w:sz w:val="24"/>
          <w:szCs w:val="24"/>
        </w:rPr>
        <w:t>The Petitioner claims that there have also been violations of Articles 13.1, 19, and 23.1 of the American Declaration on the Rights of Indigenous Peoples.</w:t>
      </w:r>
    </w:p>
    <w:p w14:paraId="7EAE7EA4" w14:textId="77777777" w:rsidR="00243E5B" w:rsidRDefault="00000000">
      <w:pPr>
        <w:pStyle w:val="Heading1"/>
        <w:keepNext w:val="0"/>
        <w:keepLines w:val="0"/>
        <w:spacing w:before="480" w:after="0"/>
        <w:rPr>
          <w:rFonts w:ascii="Times New Roman" w:eastAsia="Times New Roman" w:hAnsi="Times New Roman" w:cs="Times New Roman"/>
          <w:b/>
          <w:sz w:val="24"/>
          <w:szCs w:val="24"/>
          <w:u w:val="single"/>
        </w:rPr>
      </w:pPr>
      <w:bookmarkStart w:id="15" w:name="_dtnqzoa5nz97" w:colFirst="0" w:colLast="0"/>
      <w:bookmarkEnd w:id="15"/>
      <w:r>
        <w:rPr>
          <w:rFonts w:ascii="Times New Roman" w:eastAsia="Times New Roman" w:hAnsi="Times New Roman" w:cs="Times New Roman"/>
          <w:b/>
          <w:sz w:val="24"/>
          <w:szCs w:val="24"/>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u w:val="single"/>
        </w:rPr>
        <w:t>ARGUMENTS ON THE MERITS</w:t>
      </w:r>
    </w:p>
    <w:p w14:paraId="073D6459" w14:textId="77777777" w:rsidR="00243E5B"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93F6D18" w14:textId="77777777" w:rsidR="00243E5B" w:rsidRDefault="00000000">
      <w:pPr>
        <w:pStyle w:val="Heading3"/>
        <w:rPr>
          <w:rFonts w:ascii="Times New Roman" w:eastAsia="Times New Roman" w:hAnsi="Times New Roman" w:cs="Times New Roman"/>
          <w:b/>
          <w:sz w:val="24"/>
          <w:szCs w:val="24"/>
        </w:rPr>
      </w:pPr>
      <w:bookmarkStart w:id="16" w:name="_sv84otm4ozqw" w:colFirst="0" w:colLast="0"/>
      <w:bookmarkEnd w:id="16"/>
      <w:r>
        <w:rPr>
          <w:rFonts w:ascii="Times New Roman" w:eastAsia="Times New Roman" w:hAnsi="Times New Roman" w:cs="Times New Roman"/>
          <w:b/>
          <w:color w:val="000000"/>
          <w:sz w:val="24"/>
          <w:szCs w:val="24"/>
        </w:rPr>
        <w:t>3.1 American Convention on Human Rights</w:t>
      </w:r>
    </w:p>
    <w:p w14:paraId="7149057C" w14:textId="77777777" w:rsidR="00243E5B" w:rsidRDefault="00000000">
      <w:pPr>
        <w:pStyle w:val="Heading4"/>
        <w:spacing w:line="480" w:lineRule="auto"/>
        <w:ind w:firstLine="720"/>
        <w:rPr>
          <w:rFonts w:ascii="Times New Roman" w:eastAsia="Times New Roman" w:hAnsi="Times New Roman" w:cs="Times New Roman"/>
          <w:b/>
          <w:color w:val="000000"/>
        </w:rPr>
      </w:pPr>
      <w:bookmarkStart w:id="17" w:name="_lkb5wv7y4736" w:colFirst="0" w:colLast="0"/>
      <w:bookmarkEnd w:id="17"/>
      <w:r>
        <w:rPr>
          <w:rFonts w:ascii="Times New Roman" w:eastAsia="Times New Roman" w:hAnsi="Times New Roman" w:cs="Times New Roman"/>
          <w:b/>
          <w:color w:val="000000"/>
        </w:rPr>
        <w:t>a. Article 1</w:t>
      </w:r>
    </w:p>
    <w:p w14:paraId="19646919" w14:textId="52120E41"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 1 of the ACHR dictates that all states subject to the document have the </w:t>
      </w:r>
      <w:r w:rsidR="004D17A2">
        <w:rPr>
          <w:rFonts w:ascii="Times New Roman" w:eastAsia="Times New Roman" w:hAnsi="Times New Roman" w:cs="Times New Roman"/>
          <w:sz w:val="24"/>
          <w:szCs w:val="24"/>
        </w:rPr>
        <w:t>obligation</w:t>
      </w:r>
      <w:r>
        <w:rPr>
          <w:rFonts w:ascii="Times New Roman" w:eastAsia="Times New Roman" w:hAnsi="Times New Roman" w:cs="Times New Roman"/>
          <w:sz w:val="24"/>
          <w:szCs w:val="24"/>
        </w:rPr>
        <w:t xml:space="preserve"> to respect the rights of all citizens.</w:t>
      </w:r>
      <w:r>
        <w:rPr>
          <w:rFonts w:ascii="Times New Roman" w:eastAsia="Times New Roman" w:hAnsi="Times New Roman" w:cs="Times New Roman"/>
          <w:sz w:val="24"/>
          <w:szCs w:val="24"/>
          <w:vertAlign w:val="superscript"/>
        </w:rPr>
        <w:footnoteReference w:id="28"/>
      </w:r>
      <w:r>
        <w:rPr>
          <w:rFonts w:ascii="Times New Roman" w:eastAsia="Times New Roman" w:hAnsi="Times New Roman" w:cs="Times New Roman"/>
          <w:sz w:val="24"/>
          <w:szCs w:val="24"/>
        </w:rPr>
        <w:t xml:space="preserve"> The state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is party to this convention and therefore must abide by this article. By moving 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 the indigenous people’s right to religion </w:t>
      </w:r>
      <w:proofErr w:type="gramStart"/>
      <w:r>
        <w:rPr>
          <w:rFonts w:ascii="Times New Roman" w:eastAsia="Times New Roman" w:hAnsi="Times New Roman" w:cs="Times New Roman"/>
          <w:sz w:val="24"/>
          <w:szCs w:val="24"/>
        </w:rPr>
        <w:t>has</w:t>
      </w:r>
      <w:proofErr w:type="gramEnd"/>
      <w:r>
        <w:rPr>
          <w:rFonts w:ascii="Times New Roman" w:eastAsia="Times New Roman" w:hAnsi="Times New Roman" w:cs="Times New Roman"/>
          <w:sz w:val="24"/>
          <w:szCs w:val="24"/>
        </w:rPr>
        <w:t xml:space="preserve"> been violated within the ACHR. By violating article 12, right to religion, article 1 has also been violated. The state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has also failed to uphold several of its own documents which were created for the purpose of upholding the rights of its indigenous citizens.</w:t>
      </w:r>
    </w:p>
    <w:p w14:paraId="3C20B215" w14:textId="77777777" w:rsidR="00243E5B" w:rsidRDefault="00000000">
      <w:pPr>
        <w:pStyle w:val="Heading4"/>
        <w:spacing w:line="480" w:lineRule="auto"/>
        <w:ind w:firstLine="720"/>
        <w:rPr>
          <w:rFonts w:ascii="Times New Roman" w:eastAsia="Times New Roman" w:hAnsi="Times New Roman" w:cs="Times New Roman"/>
        </w:rPr>
      </w:pPr>
      <w:bookmarkStart w:id="18" w:name="_sy19i95sww62" w:colFirst="0" w:colLast="0"/>
      <w:bookmarkEnd w:id="18"/>
      <w:r>
        <w:rPr>
          <w:rFonts w:ascii="Times New Roman" w:eastAsia="Times New Roman" w:hAnsi="Times New Roman" w:cs="Times New Roman"/>
          <w:b/>
          <w:color w:val="000000"/>
        </w:rPr>
        <w:t>b. Article 12.2</w:t>
      </w:r>
    </w:p>
    <w:p w14:paraId="4D5CACD7" w14:textId="77777777"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Article 12.2 states that “No one shall be subject to restrictions that might impair his freedom to maintain or to change his religion or beliefs.”</w:t>
      </w:r>
      <w:r>
        <w:rPr>
          <w:rFonts w:ascii="Times New Roman" w:eastAsia="Times New Roman" w:hAnsi="Times New Roman" w:cs="Times New Roman"/>
          <w:sz w:val="24"/>
          <w:szCs w:val="24"/>
          <w:vertAlign w:val="superscript"/>
        </w:rPr>
        <w:footnoteReference w:id="29"/>
      </w:r>
      <w:r>
        <w:rPr>
          <w:rFonts w:ascii="Times New Roman" w:eastAsia="Times New Roman" w:hAnsi="Times New Roman" w:cs="Times New Roman"/>
          <w:sz w:val="24"/>
          <w:szCs w:val="24"/>
        </w:rPr>
        <w:t xml:space="preserve"> The people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use the river for several important religious traditions.</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The main tradition we have been informed of was believed to be valuable and sacred enough that the people of the village of Manni changed the time of year which the festival took place.</w:t>
      </w:r>
      <w:r>
        <w:rPr>
          <w:rFonts w:ascii="Times New Roman" w:eastAsia="Times New Roman" w:hAnsi="Times New Roman" w:cs="Times New Roman"/>
          <w:sz w:val="24"/>
          <w:szCs w:val="24"/>
          <w:vertAlign w:val="superscript"/>
        </w:rPr>
        <w:footnoteReference w:id="31"/>
      </w:r>
      <w:r>
        <w:rPr>
          <w:rFonts w:ascii="Times New Roman" w:eastAsia="Times New Roman" w:hAnsi="Times New Roman" w:cs="Times New Roman"/>
          <w:sz w:val="24"/>
          <w:szCs w:val="24"/>
        </w:rPr>
        <w:t xml:space="preserve"> However, the rivers repositioning has cause several problems. People within the village have expressed concern for the sanctity and potency of the ceremony </w:t>
      </w:r>
      <w:proofErr w:type="spellStart"/>
      <w:r>
        <w:rPr>
          <w:rFonts w:ascii="Times New Roman" w:eastAsia="Times New Roman" w:hAnsi="Times New Roman" w:cs="Times New Roman"/>
          <w:sz w:val="24"/>
          <w:szCs w:val="24"/>
        </w:rPr>
        <w:t>sice</w:t>
      </w:r>
      <w:proofErr w:type="spellEnd"/>
      <w:r>
        <w:rPr>
          <w:rFonts w:ascii="Times New Roman" w:eastAsia="Times New Roman" w:hAnsi="Times New Roman" w:cs="Times New Roman"/>
          <w:sz w:val="24"/>
          <w:szCs w:val="24"/>
        </w:rPr>
        <w:t xml:space="preserve"> the river’s repositioning.</w:t>
      </w:r>
      <w:r>
        <w:rPr>
          <w:rFonts w:ascii="Times New Roman" w:eastAsia="Times New Roman" w:hAnsi="Times New Roman" w:cs="Times New Roman"/>
          <w:sz w:val="24"/>
          <w:szCs w:val="24"/>
          <w:vertAlign w:val="superscript"/>
        </w:rPr>
        <w:footnoteReference w:id="32"/>
      </w:r>
      <w:r>
        <w:rPr>
          <w:rFonts w:ascii="Times New Roman" w:eastAsia="Times New Roman" w:hAnsi="Times New Roman" w:cs="Times New Roman"/>
          <w:sz w:val="24"/>
          <w:szCs w:val="24"/>
        </w:rPr>
        <w:t xml:space="preserve"> An express number is not given, but it has been enough that the discussion of whether the state would or could charge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people to perform their ritual at the park has not even been broached.</w:t>
      </w:r>
      <w:r>
        <w:rPr>
          <w:rFonts w:ascii="Times New Roman" w:eastAsia="Times New Roman" w:hAnsi="Times New Roman" w:cs="Times New Roman"/>
          <w:sz w:val="24"/>
          <w:szCs w:val="24"/>
          <w:vertAlign w:val="superscript"/>
        </w:rPr>
        <w:footnoteReference w:id="33"/>
      </w:r>
    </w:p>
    <w:p w14:paraId="775F8C71" w14:textId="5A76FF71"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As the river has been clearly tie</w:t>
      </w:r>
      <w:r w:rsidR="004D17A2">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to the </w:t>
      </w:r>
      <w:r w:rsidR="004D17A2">
        <w:rPr>
          <w:rFonts w:ascii="Times New Roman" w:eastAsia="Times New Roman" w:hAnsi="Times New Roman" w:cs="Times New Roman"/>
          <w:sz w:val="24"/>
          <w:szCs w:val="24"/>
        </w:rPr>
        <w:t xml:space="preserve">tribe’s </w:t>
      </w:r>
      <w:r>
        <w:rPr>
          <w:rFonts w:ascii="Times New Roman" w:eastAsia="Times New Roman" w:hAnsi="Times New Roman" w:cs="Times New Roman"/>
          <w:sz w:val="24"/>
          <w:szCs w:val="24"/>
        </w:rPr>
        <w:t xml:space="preserve">heritage for a long period of time, the movement of the river has infringed on the religious and cultural rights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people.</w:t>
      </w:r>
      <w:r>
        <w:rPr>
          <w:rFonts w:ascii="Times New Roman" w:eastAsia="Times New Roman" w:hAnsi="Times New Roman" w:cs="Times New Roman"/>
          <w:sz w:val="24"/>
          <w:szCs w:val="24"/>
          <w:vertAlign w:val="superscript"/>
        </w:rPr>
        <w:footnoteReference w:id="34"/>
      </w:r>
      <w:r>
        <w:rPr>
          <w:rFonts w:ascii="Times New Roman" w:eastAsia="Times New Roman" w:hAnsi="Times New Roman" w:cs="Times New Roman"/>
          <w:sz w:val="24"/>
          <w:szCs w:val="24"/>
        </w:rPr>
        <w:t xml:space="preserve"> The state and the MMC have effectively limited the religious freedoms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by repositioning the river. The Republic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is a majority vote and stake holder in the MMC, holding a total 60</w:t>
      </w:r>
      <w:r w:rsidR="004D17A2">
        <w:rPr>
          <w:rFonts w:ascii="Times New Roman" w:eastAsia="Times New Roman" w:hAnsi="Times New Roman" w:cs="Times New Roman"/>
          <w:sz w:val="24"/>
          <w:szCs w:val="24"/>
        </w:rPr>
        <w:t xml:space="preserve"> percent</w:t>
      </w:r>
      <w:r>
        <w:rPr>
          <w:rFonts w:ascii="Times New Roman" w:eastAsia="Times New Roman" w:hAnsi="Times New Roman" w:cs="Times New Roman"/>
          <w:sz w:val="24"/>
          <w:szCs w:val="24"/>
        </w:rPr>
        <w:t xml:space="preserve"> of shares and votes.</w:t>
      </w:r>
      <w:r>
        <w:rPr>
          <w:rFonts w:ascii="Times New Roman" w:eastAsia="Times New Roman" w:hAnsi="Times New Roman" w:cs="Times New Roman"/>
          <w:sz w:val="24"/>
          <w:szCs w:val="24"/>
          <w:vertAlign w:val="superscript"/>
        </w:rPr>
        <w:footnoteReference w:id="35"/>
      </w:r>
      <w:r>
        <w:rPr>
          <w:rFonts w:ascii="Times New Roman" w:eastAsia="Times New Roman" w:hAnsi="Times New Roman" w:cs="Times New Roman"/>
          <w:sz w:val="24"/>
          <w:szCs w:val="24"/>
        </w:rPr>
        <w:t xml:space="preserve"> The state must therefore act on their obligation to protect the rights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people into consideration when considering what steps to take in the rejuvenation of 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w:t>
      </w:r>
    </w:p>
    <w:p w14:paraId="279BD12D" w14:textId="22328511" w:rsidR="00243E5B" w:rsidRDefault="00243E5B">
      <w:pPr>
        <w:pStyle w:val="Heading3"/>
        <w:spacing w:before="280"/>
        <w:rPr>
          <w:rFonts w:ascii="Times New Roman" w:eastAsia="Times New Roman" w:hAnsi="Times New Roman" w:cs="Times New Roman"/>
          <w:b/>
          <w:color w:val="000000"/>
          <w:sz w:val="24"/>
          <w:szCs w:val="24"/>
        </w:rPr>
      </w:pPr>
      <w:bookmarkStart w:id="19" w:name="_k13jmplg1pv" w:colFirst="0" w:colLast="0"/>
      <w:bookmarkEnd w:id="19"/>
    </w:p>
    <w:p w14:paraId="1FB46438" w14:textId="77777777" w:rsidR="00243E5B" w:rsidRDefault="00000000">
      <w:pPr>
        <w:pStyle w:val="Heading3"/>
        <w:spacing w:before="280"/>
        <w:rPr>
          <w:rFonts w:ascii="Times New Roman" w:eastAsia="Times New Roman" w:hAnsi="Times New Roman" w:cs="Times New Roman"/>
          <w:b/>
          <w:color w:val="000000"/>
          <w:sz w:val="24"/>
          <w:szCs w:val="24"/>
        </w:rPr>
      </w:pPr>
      <w:bookmarkStart w:id="20" w:name="_q8ey2fnaqvcd" w:colFirst="0" w:colLast="0"/>
      <w:bookmarkEnd w:id="20"/>
      <w:r>
        <w:rPr>
          <w:rFonts w:ascii="Times New Roman" w:eastAsia="Times New Roman" w:hAnsi="Times New Roman" w:cs="Times New Roman"/>
          <w:b/>
          <w:color w:val="000000"/>
          <w:sz w:val="24"/>
          <w:szCs w:val="24"/>
        </w:rPr>
        <w:t>3.3 American Declaration of the Rights and Duties of Man</w:t>
      </w:r>
    </w:p>
    <w:p w14:paraId="66758D03" w14:textId="77777777" w:rsidR="00243E5B" w:rsidRDefault="00000000">
      <w:pPr>
        <w:pStyle w:val="Heading4"/>
        <w:ind w:firstLine="720"/>
        <w:rPr>
          <w:rFonts w:ascii="Times New Roman" w:eastAsia="Times New Roman" w:hAnsi="Times New Roman" w:cs="Times New Roman"/>
          <w:b/>
          <w:color w:val="000000"/>
        </w:rPr>
      </w:pPr>
      <w:bookmarkStart w:id="21" w:name="_kbpi1agg6neo" w:colFirst="0" w:colLast="0"/>
      <w:bookmarkEnd w:id="21"/>
      <w:r>
        <w:rPr>
          <w:rFonts w:ascii="Times New Roman" w:eastAsia="Times New Roman" w:hAnsi="Times New Roman" w:cs="Times New Roman"/>
          <w:b/>
          <w:color w:val="000000"/>
        </w:rPr>
        <w:t>a. Article 3</w:t>
      </w:r>
    </w:p>
    <w:p w14:paraId="46AF8FAB" w14:textId="77777777"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American Declaration of the Rights and Duties of Man is a foundational document of the OAS. Within this document, Article 3 outlines the right to religious freedom and worship. This provides the right to maintain one’s religion and religious practices.</w:t>
      </w:r>
      <w:r>
        <w:rPr>
          <w:rFonts w:ascii="Times New Roman" w:eastAsia="Times New Roman" w:hAnsi="Times New Roman" w:cs="Times New Roman"/>
          <w:sz w:val="24"/>
          <w:szCs w:val="24"/>
          <w:vertAlign w:val="superscript"/>
        </w:rPr>
        <w:footnoteReference w:id="36"/>
      </w:r>
      <w:r>
        <w:rPr>
          <w:rFonts w:ascii="Times New Roman" w:eastAsia="Times New Roman" w:hAnsi="Times New Roman" w:cs="Times New Roman"/>
          <w:sz w:val="24"/>
          <w:szCs w:val="24"/>
        </w:rPr>
        <w:t xml:space="preserve"> This right is supported by the National Indigenous Rights Act of 1993 and the Indigenous Protections Act of 2011.</w:t>
      </w:r>
      <w:r>
        <w:rPr>
          <w:rFonts w:ascii="Times New Roman" w:eastAsia="Times New Roman" w:hAnsi="Times New Roman" w:cs="Times New Roman"/>
          <w:sz w:val="24"/>
          <w:szCs w:val="24"/>
          <w:vertAlign w:val="superscript"/>
        </w:rPr>
        <w:footnoteReference w:id="37"/>
      </w:r>
      <w:r>
        <w:rPr>
          <w:rFonts w:ascii="Times New Roman" w:eastAsia="Times New Roman" w:hAnsi="Times New Roman" w:cs="Times New Roman"/>
          <w:sz w:val="24"/>
          <w:szCs w:val="24"/>
        </w:rPr>
        <w:t xml:space="preserve"> These are domestic acts which the Republic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has also failed to uphold. </w:t>
      </w:r>
    </w:p>
    <w:p w14:paraId="58277C52" w14:textId="5813C8CF"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 is widely known to hold religious significance for not only the Manni people as people from several </w:t>
      </w:r>
      <w:r w:rsidR="004D17A2">
        <w:rPr>
          <w:rFonts w:ascii="Times New Roman" w:eastAsia="Times New Roman" w:hAnsi="Times New Roman" w:cs="Times New Roman"/>
          <w:sz w:val="24"/>
          <w:szCs w:val="24"/>
        </w:rPr>
        <w:t xml:space="preserve">smaller villages </w:t>
      </w:r>
      <w:r>
        <w:rPr>
          <w:rFonts w:ascii="Times New Roman" w:eastAsia="Times New Roman" w:hAnsi="Times New Roman" w:cs="Times New Roman"/>
          <w:sz w:val="24"/>
          <w:szCs w:val="24"/>
        </w:rPr>
        <w:t xml:space="preserve">will </w:t>
      </w:r>
      <w:proofErr w:type="gramStart"/>
      <w:r>
        <w:rPr>
          <w:rFonts w:ascii="Times New Roman" w:eastAsia="Times New Roman" w:hAnsi="Times New Roman" w:cs="Times New Roman"/>
          <w:sz w:val="24"/>
          <w:szCs w:val="24"/>
        </w:rPr>
        <w:t>make an effort</w:t>
      </w:r>
      <w:proofErr w:type="gramEnd"/>
      <w:r>
        <w:rPr>
          <w:rFonts w:ascii="Times New Roman" w:eastAsia="Times New Roman" w:hAnsi="Times New Roman" w:cs="Times New Roman"/>
          <w:sz w:val="24"/>
          <w:szCs w:val="24"/>
        </w:rPr>
        <w:t xml:space="preserve"> to visit the </w:t>
      </w:r>
      <w:r w:rsidR="004D17A2">
        <w:rPr>
          <w:rFonts w:ascii="Times New Roman" w:eastAsia="Times New Roman" w:hAnsi="Times New Roman" w:cs="Times New Roman"/>
          <w:sz w:val="24"/>
          <w:szCs w:val="24"/>
        </w:rPr>
        <w:t xml:space="preserve">Manni </w:t>
      </w:r>
      <w:r>
        <w:rPr>
          <w:rFonts w:ascii="Times New Roman" w:eastAsia="Times New Roman" w:hAnsi="Times New Roman" w:cs="Times New Roman"/>
          <w:sz w:val="24"/>
          <w:szCs w:val="24"/>
        </w:rPr>
        <w:t>for these festivals and rituals.</w:t>
      </w:r>
      <w:r>
        <w:rPr>
          <w:rFonts w:ascii="Times New Roman" w:eastAsia="Times New Roman" w:hAnsi="Times New Roman" w:cs="Times New Roman"/>
          <w:sz w:val="24"/>
          <w:szCs w:val="24"/>
          <w:vertAlign w:val="superscript"/>
        </w:rPr>
        <w:footnoteReference w:id="38"/>
      </w:r>
      <w:r>
        <w:rPr>
          <w:rFonts w:ascii="Times New Roman" w:eastAsia="Times New Roman" w:hAnsi="Times New Roman" w:cs="Times New Roman"/>
          <w:sz w:val="24"/>
          <w:szCs w:val="24"/>
        </w:rPr>
        <w:t xml:space="preserve"> By diverting the river, the rights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people have been </w:t>
      </w:r>
      <w:r w:rsidR="004D17A2">
        <w:rPr>
          <w:rFonts w:ascii="Times New Roman" w:eastAsia="Times New Roman" w:hAnsi="Times New Roman" w:cs="Times New Roman"/>
          <w:sz w:val="24"/>
          <w:szCs w:val="24"/>
        </w:rPr>
        <w:t>violated</w:t>
      </w:r>
      <w:r>
        <w:rPr>
          <w:rFonts w:ascii="Times New Roman" w:eastAsia="Times New Roman" w:hAnsi="Times New Roman" w:cs="Times New Roman"/>
          <w:sz w:val="24"/>
          <w:szCs w:val="24"/>
        </w:rPr>
        <w:t xml:space="preserve">. The MMC created the problem and severely damaged the natural environment but the State, as a majority holder in the company - both in shares as well as in votes - also has a duty to </w:t>
      </w:r>
      <w:r w:rsidR="004D17A2">
        <w:rPr>
          <w:rFonts w:ascii="Times New Roman" w:eastAsia="Times New Roman" w:hAnsi="Times New Roman" w:cs="Times New Roman"/>
          <w:sz w:val="24"/>
          <w:szCs w:val="24"/>
        </w:rPr>
        <w:t xml:space="preserve">make whole the </w:t>
      </w:r>
      <w:proofErr w:type="spellStart"/>
      <w:r w:rsidR="004D17A2">
        <w:rPr>
          <w:rFonts w:ascii="Times New Roman" w:eastAsia="Times New Roman" w:hAnsi="Times New Roman" w:cs="Times New Roman"/>
          <w:sz w:val="24"/>
          <w:szCs w:val="24"/>
        </w:rPr>
        <w:t>Berarnoldo</w:t>
      </w:r>
      <w:proofErr w:type="spellEnd"/>
      <w:r w:rsidR="004D17A2">
        <w:rPr>
          <w:rFonts w:ascii="Times New Roman" w:eastAsia="Times New Roman" w:hAnsi="Times New Roman" w:cs="Times New Roman"/>
          <w:sz w:val="24"/>
          <w:szCs w:val="24"/>
        </w:rPr>
        <w:t xml:space="preserve"> </w:t>
      </w:r>
      <w:proofErr w:type="spellStart"/>
      <w:r w:rsidR="004D17A2">
        <w:rPr>
          <w:rFonts w:ascii="Times New Roman" w:eastAsia="Times New Roman" w:hAnsi="Times New Roman" w:cs="Times New Roman"/>
          <w:sz w:val="24"/>
          <w:szCs w:val="24"/>
        </w:rPr>
        <w:t>p</w:t>
      </w:r>
      <w:r>
        <w:rPr>
          <w:rFonts w:ascii="Times New Roman" w:eastAsia="Times New Roman" w:hAnsi="Times New Roman" w:cs="Times New Roman"/>
          <w:sz w:val="24"/>
          <w:szCs w:val="24"/>
        </w:rPr>
        <w:t>fix</w:t>
      </w:r>
      <w:proofErr w:type="spellEnd"/>
      <w:r>
        <w:rPr>
          <w:rFonts w:ascii="Times New Roman" w:eastAsia="Times New Roman" w:hAnsi="Times New Roman" w:cs="Times New Roman"/>
          <w:sz w:val="24"/>
          <w:szCs w:val="24"/>
        </w:rPr>
        <w:t xml:space="preserve"> the problems it creates without undermining the rights of citizens.</w:t>
      </w:r>
    </w:p>
    <w:p w14:paraId="7DD93086" w14:textId="77777777"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violation of article 3 of the American Declaration act to strengthen the article 1 and 12 violations of the ACHR. The choice to move the river by the government was a violation of the rights of the indigenous people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w:t>
      </w:r>
    </w:p>
    <w:p w14:paraId="1027839D" w14:textId="77777777" w:rsidR="00243E5B" w:rsidRDefault="00000000">
      <w:pPr>
        <w:pStyle w:val="Heading4"/>
        <w:spacing w:line="480" w:lineRule="auto"/>
        <w:rPr>
          <w:rFonts w:ascii="Times New Roman" w:eastAsia="Times New Roman" w:hAnsi="Times New Roman" w:cs="Times New Roman"/>
          <w:b/>
          <w:color w:val="000000"/>
        </w:rPr>
      </w:pPr>
      <w:bookmarkStart w:id="22" w:name="_vk9ewkemvew9" w:colFirst="0" w:colLast="0"/>
      <w:bookmarkEnd w:id="22"/>
      <w:r>
        <w:br w:type="page"/>
      </w:r>
    </w:p>
    <w:p w14:paraId="56F0C61F" w14:textId="77777777" w:rsidR="00243E5B" w:rsidRDefault="00000000">
      <w:pPr>
        <w:pStyle w:val="Heading3"/>
        <w:spacing w:line="480" w:lineRule="auto"/>
        <w:rPr>
          <w:rFonts w:ascii="Times New Roman" w:eastAsia="Times New Roman" w:hAnsi="Times New Roman" w:cs="Times New Roman"/>
          <w:b/>
          <w:sz w:val="24"/>
          <w:szCs w:val="24"/>
        </w:rPr>
      </w:pPr>
      <w:bookmarkStart w:id="23" w:name="_6hn97s3txrut" w:colFirst="0" w:colLast="0"/>
      <w:bookmarkEnd w:id="23"/>
      <w:r>
        <w:rPr>
          <w:rFonts w:ascii="Times New Roman" w:eastAsia="Times New Roman" w:hAnsi="Times New Roman" w:cs="Times New Roman"/>
          <w:b/>
          <w:sz w:val="24"/>
          <w:szCs w:val="24"/>
        </w:rPr>
        <w:t>3.2 American Declaration on the Rights of Indigenous Peoples</w:t>
      </w:r>
    </w:p>
    <w:p w14:paraId="6DED73EB" w14:textId="77777777" w:rsidR="00243E5B" w:rsidRDefault="00000000">
      <w:pPr>
        <w:pStyle w:val="Heading4"/>
        <w:spacing w:line="480" w:lineRule="auto"/>
        <w:ind w:left="720"/>
        <w:rPr>
          <w:rFonts w:ascii="Times New Roman" w:eastAsia="Times New Roman" w:hAnsi="Times New Roman" w:cs="Times New Roman"/>
          <w:b/>
          <w:color w:val="000000"/>
        </w:rPr>
      </w:pPr>
      <w:bookmarkStart w:id="24" w:name="_sat1t3syrnz4" w:colFirst="0" w:colLast="0"/>
      <w:bookmarkEnd w:id="24"/>
      <w:r>
        <w:rPr>
          <w:rFonts w:ascii="Times New Roman" w:eastAsia="Times New Roman" w:hAnsi="Times New Roman" w:cs="Times New Roman"/>
          <w:b/>
          <w:color w:val="000000"/>
        </w:rPr>
        <w:t xml:space="preserve">a. Article 13.1 </w:t>
      </w:r>
    </w:p>
    <w:p w14:paraId="4984E459" w14:textId="532E0FD8"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American Declaration on the Rights </w:t>
      </w:r>
      <w:r w:rsidR="00CD5A3A">
        <w:rPr>
          <w:rFonts w:ascii="Times New Roman" w:eastAsia="Times New Roman" w:hAnsi="Times New Roman" w:cs="Times New Roman"/>
          <w:sz w:val="24"/>
          <w:szCs w:val="24"/>
        </w:rPr>
        <w:t>of</w:t>
      </w:r>
      <w:r>
        <w:rPr>
          <w:rFonts w:ascii="Times New Roman" w:eastAsia="Times New Roman" w:hAnsi="Times New Roman" w:cs="Times New Roman"/>
          <w:sz w:val="24"/>
          <w:szCs w:val="24"/>
        </w:rPr>
        <w:t xml:space="preserve"> Indigenous Peoples states that “Indigenous peoples have the right to their own cultural identity and integrity and to their cultural heritage, whether tangible or intangible, including historic and ancestral heritage; and to the protection, preservation, maintenance, and development of that cultural heritage” which is seen in article 13.1 of the American Declaration on the Rights of Indigenous Peoples. This article protects Indigenous rights to ancestral and spiritual lands to preserve their heritage. </w:t>
      </w:r>
    </w:p>
    <w:p w14:paraId="0A390C6B" w14:textId="77BA6AC6"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Republic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has violated not only Article 13.1 of the American Declaration on the Rights </w:t>
      </w:r>
      <w:r w:rsidR="00CD5A3A">
        <w:rPr>
          <w:rFonts w:ascii="Times New Roman" w:eastAsia="Times New Roman" w:hAnsi="Times New Roman" w:cs="Times New Roman"/>
          <w:sz w:val="24"/>
          <w:szCs w:val="24"/>
        </w:rPr>
        <w:t>of</w:t>
      </w:r>
      <w:r>
        <w:rPr>
          <w:rFonts w:ascii="Times New Roman" w:eastAsia="Times New Roman" w:hAnsi="Times New Roman" w:cs="Times New Roman"/>
          <w:sz w:val="24"/>
          <w:szCs w:val="24"/>
        </w:rPr>
        <w:t xml:space="preserve"> Indigenous Peoples, but also several of its own documents in this process. Particularly, the state has violated article four of National Indigenous Rights Act of 1993, added by the Indigenous Protections Act of 2011.</w:t>
      </w:r>
      <w:r>
        <w:rPr>
          <w:rFonts w:ascii="Times New Roman" w:eastAsia="Times New Roman" w:hAnsi="Times New Roman" w:cs="Times New Roman"/>
          <w:sz w:val="24"/>
          <w:szCs w:val="24"/>
          <w:vertAlign w:val="superscript"/>
        </w:rPr>
        <w:footnoteReference w:id="39"/>
      </w:r>
      <w:r>
        <w:rPr>
          <w:rFonts w:ascii="Times New Roman" w:eastAsia="Times New Roman" w:hAnsi="Times New Roman" w:cs="Times New Roman"/>
          <w:sz w:val="24"/>
          <w:szCs w:val="24"/>
        </w:rPr>
        <w:t xml:space="preserve"> This article states that all indigenous peoples have the right to maintain their heritage in </w:t>
      </w:r>
      <w:r w:rsidR="00CD5A3A">
        <w:rPr>
          <w:rFonts w:ascii="Times New Roman" w:eastAsia="Times New Roman" w:hAnsi="Times New Roman" w:cs="Times New Roman"/>
          <w:sz w:val="24"/>
          <w:szCs w:val="24"/>
        </w:rPr>
        <w:t>all</w:t>
      </w:r>
      <w:r>
        <w:rPr>
          <w:rFonts w:ascii="Times New Roman" w:eastAsia="Times New Roman" w:hAnsi="Times New Roman" w:cs="Times New Roman"/>
          <w:sz w:val="24"/>
          <w:szCs w:val="24"/>
        </w:rPr>
        <w:t xml:space="preserve"> its forms. Article one of the original National Indigenous Rights Act of 1993 also dictates the rights of indigenous people to their ancestral lands. This would include 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 as well as </w:t>
      </w:r>
      <w:r w:rsidR="00CD5A3A">
        <w:rPr>
          <w:rFonts w:ascii="Times New Roman" w:eastAsia="Times New Roman" w:hAnsi="Times New Roman" w:cs="Times New Roman"/>
          <w:sz w:val="24"/>
          <w:szCs w:val="24"/>
        </w:rPr>
        <w:t>all</w:t>
      </w:r>
      <w:r>
        <w:rPr>
          <w:rFonts w:ascii="Times New Roman" w:eastAsia="Times New Roman" w:hAnsi="Times New Roman" w:cs="Times New Roman"/>
          <w:sz w:val="24"/>
          <w:szCs w:val="24"/>
        </w:rPr>
        <w:t xml:space="preserve"> the religious ceremonies associated with it. The natural path of the river was considered essential not only to the community</w:t>
      </w:r>
      <w:r w:rsidR="00CD5A3A">
        <w:rPr>
          <w:rFonts w:ascii="Times New Roman" w:eastAsia="Times New Roman" w:hAnsi="Times New Roman" w:cs="Times New Roman"/>
          <w:sz w:val="24"/>
          <w:szCs w:val="24"/>
        </w:rPr>
        <w:t xml:space="preserve"> of Manni</w:t>
      </w:r>
      <w:r>
        <w:rPr>
          <w:rFonts w:ascii="Times New Roman" w:eastAsia="Times New Roman" w:hAnsi="Times New Roman" w:cs="Times New Roman"/>
          <w:sz w:val="24"/>
          <w:szCs w:val="24"/>
        </w:rPr>
        <w:t xml:space="preserve">, but </w:t>
      </w:r>
      <w:r w:rsidR="00CD5A3A">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the </w:t>
      </w:r>
      <w:r w:rsidR="00CD5A3A">
        <w:rPr>
          <w:rFonts w:ascii="Times New Roman" w:eastAsia="Times New Roman" w:hAnsi="Times New Roman" w:cs="Times New Roman"/>
          <w:sz w:val="24"/>
          <w:szCs w:val="24"/>
        </w:rPr>
        <w:t xml:space="preserve">entire tribe’s </w:t>
      </w:r>
      <w:r>
        <w:rPr>
          <w:rFonts w:ascii="Times New Roman" w:eastAsia="Times New Roman" w:hAnsi="Times New Roman" w:cs="Times New Roman"/>
          <w:sz w:val="24"/>
          <w:szCs w:val="24"/>
        </w:rPr>
        <w:t xml:space="preserve">religion. </w:t>
      </w:r>
    </w:p>
    <w:p w14:paraId="499E0F6E" w14:textId="6E150239"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 case which aligns with this precedent is the case of </w:t>
      </w:r>
      <w:proofErr w:type="spellStart"/>
      <w:r>
        <w:rPr>
          <w:rFonts w:ascii="Times New Roman" w:eastAsia="Times New Roman" w:hAnsi="Times New Roman" w:cs="Times New Roman"/>
          <w:i/>
          <w:sz w:val="24"/>
          <w:szCs w:val="24"/>
        </w:rPr>
        <w:t>Garífuna</w:t>
      </w:r>
      <w:proofErr w:type="spellEnd"/>
      <w:r>
        <w:rPr>
          <w:rFonts w:ascii="Times New Roman" w:eastAsia="Times New Roman" w:hAnsi="Times New Roman" w:cs="Times New Roman"/>
          <w:i/>
          <w:sz w:val="24"/>
          <w:szCs w:val="24"/>
        </w:rPr>
        <w:t xml:space="preserve"> Punta Piedra Community and its Members v. Honduras.</w:t>
      </w:r>
      <w:r>
        <w:rPr>
          <w:rFonts w:ascii="Times New Roman" w:eastAsia="Times New Roman" w:hAnsi="Times New Roman" w:cs="Times New Roman"/>
          <w:sz w:val="24"/>
          <w:szCs w:val="24"/>
        </w:rPr>
        <w:t xml:space="preserve"> In this case,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Garífuna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community was granted rights of ownership over </w:t>
      </w:r>
      <w:proofErr w:type="gramStart"/>
      <w:r>
        <w:rPr>
          <w:rFonts w:ascii="Times New Roman" w:eastAsia="Times New Roman" w:hAnsi="Times New Roman" w:cs="Times New Roman"/>
          <w:sz w:val="24"/>
          <w:szCs w:val="24"/>
        </w:rPr>
        <w:t>the majority of</w:t>
      </w:r>
      <w:proofErr w:type="gramEnd"/>
      <w:r>
        <w:rPr>
          <w:rFonts w:ascii="Times New Roman" w:eastAsia="Times New Roman" w:hAnsi="Times New Roman" w:cs="Times New Roman"/>
          <w:sz w:val="24"/>
          <w:szCs w:val="24"/>
        </w:rPr>
        <w:t xml:space="preserve"> their ancestral lands. The State also gave ancestral lands to the thirty party members outside of the </w:t>
      </w:r>
      <w:proofErr w:type="spellStart"/>
      <w:r>
        <w:rPr>
          <w:rFonts w:ascii="Times New Roman" w:eastAsia="Times New Roman" w:hAnsi="Times New Roman" w:cs="Times New Roman"/>
          <w:sz w:val="24"/>
          <w:szCs w:val="24"/>
        </w:rPr>
        <w:t>Garífuna</w:t>
      </w:r>
      <w:proofErr w:type="spellEnd"/>
      <w:r>
        <w:rPr>
          <w:rFonts w:ascii="Times New Roman" w:eastAsia="Times New Roman" w:hAnsi="Times New Roman" w:cs="Times New Roman"/>
          <w:sz w:val="24"/>
          <w:szCs w:val="24"/>
        </w:rPr>
        <w:t xml:space="preserve"> community.</w:t>
      </w:r>
      <w:r>
        <w:rPr>
          <w:rFonts w:ascii="Times New Roman" w:eastAsia="Times New Roman" w:hAnsi="Times New Roman" w:cs="Times New Roman"/>
          <w:sz w:val="24"/>
          <w:szCs w:val="24"/>
          <w:vertAlign w:val="superscript"/>
        </w:rPr>
        <w:footnoteReference w:id="40"/>
      </w:r>
      <w:r>
        <w:rPr>
          <w:rFonts w:ascii="Times New Roman" w:eastAsia="Times New Roman" w:hAnsi="Times New Roman" w:cs="Times New Roman"/>
          <w:sz w:val="24"/>
          <w:szCs w:val="24"/>
        </w:rPr>
        <w:t xml:space="preserve"> This, as well as the </w:t>
      </w:r>
      <w:r w:rsidR="00CD5A3A">
        <w:rPr>
          <w:rFonts w:ascii="Times New Roman" w:eastAsia="Times New Roman" w:hAnsi="Times New Roman" w:cs="Times New Roman"/>
          <w:sz w:val="24"/>
          <w:szCs w:val="24"/>
        </w:rPr>
        <w:t>S</w:t>
      </w:r>
      <w:r>
        <w:rPr>
          <w:rFonts w:ascii="Times New Roman" w:eastAsia="Times New Roman" w:hAnsi="Times New Roman" w:cs="Times New Roman"/>
          <w:sz w:val="24"/>
          <w:szCs w:val="24"/>
        </w:rPr>
        <w:t>tate’s failure to uphold its end of the agreement made in 2001 resulted in the death of many community members.</w:t>
      </w:r>
      <w:r>
        <w:rPr>
          <w:rFonts w:ascii="Times New Roman" w:eastAsia="Times New Roman" w:hAnsi="Times New Roman" w:cs="Times New Roman"/>
          <w:sz w:val="24"/>
          <w:szCs w:val="24"/>
          <w:vertAlign w:val="superscript"/>
        </w:rPr>
        <w:footnoteReference w:id="41"/>
      </w:r>
      <w:r>
        <w:rPr>
          <w:rFonts w:ascii="Times New Roman" w:eastAsia="Times New Roman" w:hAnsi="Times New Roman" w:cs="Times New Roman"/>
          <w:sz w:val="24"/>
          <w:szCs w:val="24"/>
        </w:rPr>
        <w:t xml:space="preserve">  The IACHR found that the </w:t>
      </w:r>
      <w:r w:rsidR="00CD5A3A">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tate had only further hurt the </w:t>
      </w:r>
      <w:proofErr w:type="spellStart"/>
      <w:r>
        <w:rPr>
          <w:rFonts w:ascii="Times New Roman" w:eastAsia="Times New Roman" w:hAnsi="Times New Roman" w:cs="Times New Roman"/>
          <w:sz w:val="24"/>
          <w:szCs w:val="24"/>
        </w:rPr>
        <w:t>Garífuna</w:t>
      </w:r>
      <w:proofErr w:type="spellEnd"/>
      <w:r>
        <w:rPr>
          <w:rFonts w:ascii="Times New Roman" w:eastAsia="Times New Roman" w:hAnsi="Times New Roman" w:cs="Times New Roman"/>
          <w:sz w:val="24"/>
          <w:szCs w:val="24"/>
        </w:rPr>
        <w:t xml:space="preserve"> people by allowing a mining corporation to use part of their land. </w:t>
      </w:r>
    </w:p>
    <w:p w14:paraId="4FC2CF65" w14:textId="59D2B966" w:rsidR="00243E5B" w:rsidRDefault="00000000">
      <w:pPr>
        <w:spacing w:line="480" w:lineRule="auto"/>
        <w:ind w:firstLine="720"/>
        <w:rPr>
          <w:rFonts w:ascii="Times New Roman" w:eastAsia="Times New Roman" w:hAnsi="Times New Roman" w:cs="Times New Roman"/>
          <w:b/>
        </w:rPr>
      </w:pPr>
      <w:r>
        <w:rPr>
          <w:rFonts w:ascii="Times New Roman" w:eastAsia="Times New Roman" w:hAnsi="Times New Roman" w:cs="Times New Roman"/>
          <w:sz w:val="24"/>
          <w:szCs w:val="24"/>
        </w:rPr>
        <w:t xml:space="preserve">This case has several overlapping factors that make it applicable in the case at hand. Primarily, the use of the land which is promised to them not only by the ACHR and the American Declaration on the Rights of Indigenous Peoples, but also in domestically established documents. </w:t>
      </w:r>
      <w:r w:rsidR="00CD5A3A">
        <w:rPr>
          <w:rFonts w:ascii="Times New Roman" w:eastAsia="Times New Roman" w:hAnsi="Times New Roman" w:cs="Times New Roman"/>
          <w:sz w:val="24"/>
          <w:szCs w:val="24"/>
        </w:rPr>
        <w:t>Also,</w:t>
      </w:r>
      <w:r>
        <w:rPr>
          <w:rFonts w:ascii="Times New Roman" w:eastAsia="Times New Roman" w:hAnsi="Times New Roman" w:cs="Times New Roman"/>
          <w:sz w:val="24"/>
          <w:szCs w:val="24"/>
        </w:rPr>
        <w:t xml:space="preserve"> establishment of </w:t>
      </w:r>
      <w:r w:rsidR="00CD5A3A">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mine </w:t>
      </w:r>
      <w:r w:rsidR="00CD5A3A">
        <w:rPr>
          <w:rFonts w:ascii="Times New Roman" w:eastAsia="Times New Roman" w:hAnsi="Times New Roman" w:cs="Times New Roman"/>
          <w:sz w:val="24"/>
          <w:szCs w:val="24"/>
        </w:rPr>
        <w:t xml:space="preserve">proved detrimental </w:t>
      </w:r>
      <w:r>
        <w:rPr>
          <w:rFonts w:ascii="Times New Roman" w:eastAsia="Times New Roman" w:hAnsi="Times New Roman" w:cs="Times New Roman"/>
          <w:sz w:val="24"/>
          <w:szCs w:val="24"/>
        </w:rPr>
        <w:t xml:space="preserve">the </w:t>
      </w:r>
      <w:r w:rsidR="00CD5A3A">
        <w:rPr>
          <w:rFonts w:ascii="Times New Roman" w:eastAsia="Times New Roman" w:hAnsi="Times New Roman" w:cs="Times New Roman"/>
          <w:sz w:val="24"/>
          <w:szCs w:val="24"/>
        </w:rPr>
        <w:t xml:space="preserve">religion and health </w:t>
      </w:r>
      <w:r>
        <w:rPr>
          <w:rFonts w:ascii="Times New Roman" w:eastAsia="Times New Roman" w:hAnsi="Times New Roman" w:cs="Times New Roman"/>
          <w:sz w:val="24"/>
          <w:szCs w:val="24"/>
        </w:rPr>
        <w:t>of the indigenous community.</w:t>
      </w:r>
      <w:r w:rsidR="00CD5A3A">
        <w:rPr>
          <w:rFonts w:ascii="Times New Roman" w:eastAsia="Times New Roman" w:hAnsi="Times New Roman" w:cs="Times New Roman"/>
          <w:sz w:val="24"/>
          <w:szCs w:val="24"/>
        </w:rPr>
        <w:t xml:space="preserve"> Fishing was destroyed and birth defects increased by 11%.</w:t>
      </w:r>
      <w:r w:rsidR="00CD5A3A">
        <w:rPr>
          <w:rStyle w:val="FootnoteReference"/>
          <w:rFonts w:ascii="Times New Roman" w:eastAsia="Times New Roman" w:hAnsi="Times New Roman" w:cs="Times New Roman"/>
          <w:sz w:val="24"/>
          <w:szCs w:val="24"/>
        </w:rPr>
        <w:footnoteReference w:id="42"/>
      </w:r>
      <w:r w:rsidR="00CD5A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this case, there was significant harm done to the indigenous tribe that brought the </w:t>
      </w:r>
      <w:r w:rsidR="00CD5A3A">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tate to trial. </w:t>
      </w:r>
      <w:r w:rsidR="00ED46FD">
        <w:rPr>
          <w:rFonts w:ascii="Times New Roman" w:eastAsia="Times New Roman" w:hAnsi="Times New Roman" w:cs="Times New Roman"/>
          <w:sz w:val="24"/>
          <w:szCs w:val="24"/>
        </w:rPr>
        <w:t>T</w:t>
      </w:r>
      <w:r>
        <w:rPr>
          <w:rFonts w:ascii="Times New Roman" w:eastAsia="Times New Roman" w:hAnsi="Times New Roman" w:cs="Times New Roman"/>
          <w:sz w:val="24"/>
          <w:szCs w:val="24"/>
        </w:rPr>
        <w:t>h</w:t>
      </w:r>
      <w:r w:rsidR="00ED46FD">
        <w:rPr>
          <w:rFonts w:ascii="Times New Roman" w:eastAsia="Times New Roman" w:hAnsi="Times New Roman" w:cs="Times New Roman"/>
          <w:sz w:val="24"/>
          <w:szCs w:val="24"/>
        </w:rPr>
        <w:t xml:space="preserve">e </w:t>
      </w:r>
      <w:proofErr w:type="spellStart"/>
      <w:r w:rsidR="00ED46FD">
        <w:rPr>
          <w:rFonts w:ascii="Times New Roman" w:eastAsia="Times New Roman" w:hAnsi="Times New Roman" w:cs="Times New Roman"/>
          <w:sz w:val="24"/>
          <w:szCs w:val="24"/>
        </w:rPr>
        <w:t>Garífuna</w:t>
      </w:r>
      <w:proofErr w:type="spellEnd"/>
      <w:r w:rsidR="00ED46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precedent and the case at hand today is the issue of religion. The issue of religion only furthers the violations committed by the Republic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The complete damage done is that the establishment of the mine polluted the water. While the initial establishment was</w:t>
      </w:r>
      <w:r w:rsidR="00ED46FD">
        <w:rPr>
          <w:rFonts w:ascii="Times New Roman" w:eastAsia="Times New Roman" w:hAnsi="Times New Roman" w:cs="Times New Roman"/>
          <w:sz w:val="24"/>
          <w:szCs w:val="24"/>
        </w:rPr>
        <w:t xml:space="preserve"> not </w:t>
      </w:r>
      <w:r>
        <w:rPr>
          <w:rFonts w:ascii="Times New Roman" w:eastAsia="Times New Roman" w:hAnsi="Times New Roman" w:cs="Times New Roman"/>
          <w:sz w:val="24"/>
          <w:szCs w:val="24"/>
        </w:rPr>
        <w:t xml:space="preserve">an issue,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people feel misled as to the detriment that th</w:t>
      </w:r>
      <w:r w:rsidR="00ED46FD">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mine could bring to the</w:t>
      </w:r>
      <w:r w:rsidR="00ED46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community and their </w:t>
      </w:r>
      <w:r w:rsidR="00ED46FD">
        <w:rPr>
          <w:rFonts w:ascii="Times New Roman" w:eastAsia="Times New Roman" w:hAnsi="Times New Roman" w:cs="Times New Roman"/>
          <w:sz w:val="24"/>
          <w:szCs w:val="24"/>
        </w:rPr>
        <w:t xml:space="preserve">health and </w:t>
      </w:r>
      <w:r>
        <w:rPr>
          <w:rFonts w:ascii="Times New Roman" w:eastAsia="Times New Roman" w:hAnsi="Times New Roman" w:cs="Times New Roman"/>
          <w:sz w:val="24"/>
          <w:szCs w:val="24"/>
        </w:rPr>
        <w:t>practices.</w:t>
      </w:r>
      <w:r>
        <w:rPr>
          <w:rFonts w:ascii="Times New Roman" w:eastAsia="Times New Roman" w:hAnsi="Times New Roman" w:cs="Times New Roman"/>
          <w:sz w:val="24"/>
          <w:szCs w:val="24"/>
          <w:vertAlign w:val="superscript"/>
        </w:rPr>
        <w:footnoteReference w:id="43"/>
      </w:r>
      <w:r>
        <w:rPr>
          <w:rFonts w:ascii="Times New Roman" w:eastAsia="Times New Roman" w:hAnsi="Times New Roman" w:cs="Times New Roman"/>
          <w:sz w:val="24"/>
          <w:szCs w:val="24"/>
        </w:rPr>
        <w:t xml:space="preserve"> Furthermore, the people of the tribe were not consulted on the matter of the movement of the river. </w:t>
      </w:r>
      <w:r w:rsidR="00ED46FD">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his river, which not only has purposes in everyday life, but also holds significant value to their religious practices and their cultural identity. </w:t>
      </w:r>
    </w:p>
    <w:p w14:paraId="7F9B26C3" w14:textId="77777777" w:rsidR="00243E5B" w:rsidRDefault="00243E5B">
      <w:pPr>
        <w:spacing w:line="480" w:lineRule="auto"/>
        <w:ind w:firstLine="720"/>
        <w:rPr>
          <w:rFonts w:ascii="Times New Roman" w:eastAsia="Times New Roman" w:hAnsi="Times New Roman" w:cs="Times New Roman"/>
          <w:b/>
        </w:rPr>
      </w:pPr>
    </w:p>
    <w:p w14:paraId="7E2AF535" w14:textId="77777777" w:rsidR="00243E5B" w:rsidRDefault="00243E5B">
      <w:pPr>
        <w:spacing w:line="480" w:lineRule="auto"/>
        <w:ind w:firstLine="720"/>
        <w:rPr>
          <w:rFonts w:ascii="Times New Roman" w:eastAsia="Times New Roman" w:hAnsi="Times New Roman" w:cs="Times New Roman"/>
          <w:b/>
        </w:rPr>
      </w:pPr>
    </w:p>
    <w:p w14:paraId="510DE186" w14:textId="77777777" w:rsidR="00243E5B" w:rsidRDefault="00243E5B">
      <w:pPr>
        <w:spacing w:line="480" w:lineRule="auto"/>
        <w:ind w:firstLine="720"/>
        <w:rPr>
          <w:rFonts w:ascii="Times New Roman" w:eastAsia="Times New Roman" w:hAnsi="Times New Roman" w:cs="Times New Roman"/>
          <w:b/>
        </w:rPr>
      </w:pPr>
    </w:p>
    <w:p w14:paraId="1C91A17B" w14:textId="77777777" w:rsidR="00243E5B" w:rsidRDefault="00000000">
      <w:pPr>
        <w:spacing w:line="480" w:lineRule="auto"/>
        <w:ind w:firstLine="720"/>
        <w:rPr>
          <w:rFonts w:ascii="Times New Roman" w:eastAsia="Times New Roman" w:hAnsi="Times New Roman" w:cs="Times New Roman"/>
          <w:b/>
        </w:rPr>
      </w:pPr>
      <w:r>
        <w:br w:type="page"/>
      </w:r>
    </w:p>
    <w:p w14:paraId="19ECB052" w14:textId="77777777" w:rsidR="00243E5B" w:rsidRDefault="00000000">
      <w:pPr>
        <w:pStyle w:val="Heading4"/>
        <w:spacing w:line="480" w:lineRule="auto"/>
        <w:ind w:firstLine="720"/>
        <w:rPr>
          <w:rFonts w:ascii="Times New Roman" w:eastAsia="Times New Roman" w:hAnsi="Times New Roman" w:cs="Times New Roman"/>
          <w:b/>
          <w:color w:val="000000"/>
        </w:rPr>
      </w:pPr>
      <w:bookmarkStart w:id="25" w:name="_396rg2n7bosn" w:colFirst="0" w:colLast="0"/>
      <w:bookmarkEnd w:id="25"/>
      <w:r>
        <w:rPr>
          <w:rFonts w:ascii="Times New Roman" w:eastAsia="Times New Roman" w:hAnsi="Times New Roman" w:cs="Times New Roman"/>
          <w:b/>
          <w:color w:val="000000"/>
        </w:rPr>
        <w:t>b. Article 23.1</w:t>
      </w:r>
    </w:p>
    <w:p w14:paraId="2834FBF4" w14:textId="3765053C"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Article 23.1 of the American Declaration on the Rights of Indigenous Peoples claims that “states shall consult and cooperate in good faith with the indigenous peoples concerned, through their own representative institutions, in order to obtain their free, prior and informed consent before adopting and implementing legislative or administrative measures that may affect them.”</w:t>
      </w:r>
      <w:r>
        <w:rPr>
          <w:rFonts w:ascii="Times New Roman" w:eastAsia="Times New Roman" w:hAnsi="Times New Roman" w:cs="Times New Roman"/>
          <w:sz w:val="24"/>
          <w:szCs w:val="24"/>
          <w:vertAlign w:val="superscript"/>
        </w:rPr>
        <w:footnoteReference w:id="44"/>
      </w:r>
      <w:r>
        <w:rPr>
          <w:rFonts w:ascii="Times New Roman" w:eastAsia="Times New Roman" w:hAnsi="Times New Roman" w:cs="Times New Roman"/>
          <w:sz w:val="24"/>
          <w:szCs w:val="24"/>
        </w:rPr>
        <w:t xml:space="preserve"> This means that any actions taken to the relocation or realignment of indigenous land must be discussed and consulted with the indigenous peoples that it affects. It also means that any good pay the agreements should be upheld. To this end, the Republic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w:t>
      </w:r>
      <w:r w:rsidR="00ED46FD">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as failed not only in regards to the American Declaration on the </w:t>
      </w:r>
      <w:r w:rsidR="00ED46FD">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ights of </w:t>
      </w:r>
      <w:r w:rsidR="00ED46F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ndigenous </w:t>
      </w:r>
      <w:r w:rsidR="00ED46FD">
        <w:rPr>
          <w:rFonts w:ascii="Times New Roman" w:eastAsia="Times New Roman" w:hAnsi="Times New Roman" w:cs="Times New Roman"/>
          <w:sz w:val="24"/>
          <w:szCs w:val="24"/>
        </w:rPr>
        <w:t>P</w:t>
      </w:r>
      <w:r>
        <w:rPr>
          <w:rFonts w:ascii="Times New Roman" w:eastAsia="Times New Roman" w:hAnsi="Times New Roman" w:cs="Times New Roman"/>
          <w:sz w:val="24"/>
          <w:szCs w:val="24"/>
        </w:rPr>
        <w:t>eople, but has also failed in its actions to uphold National Indigenous Rights Act of 1993 and the Indigenous Protections Act of 2011.</w:t>
      </w:r>
      <w:r>
        <w:rPr>
          <w:rFonts w:ascii="Times New Roman" w:eastAsia="Times New Roman" w:hAnsi="Times New Roman" w:cs="Times New Roman"/>
          <w:sz w:val="24"/>
          <w:szCs w:val="24"/>
          <w:vertAlign w:val="superscript"/>
        </w:rPr>
        <w:footnoteReference w:id="45"/>
      </w:r>
      <w:r>
        <w:rPr>
          <w:rFonts w:ascii="Times New Roman" w:eastAsia="Times New Roman" w:hAnsi="Times New Roman" w:cs="Times New Roman"/>
          <w:sz w:val="24"/>
          <w:szCs w:val="24"/>
        </w:rPr>
        <w:t xml:space="preserve"> Article 5 of the </w:t>
      </w:r>
      <w:r w:rsidR="00ED46FD">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ational </w:t>
      </w:r>
      <w:r w:rsidR="00ED46FD">
        <w:rPr>
          <w:rFonts w:ascii="Times New Roman" w:eastAsia="Times New Roman" w:hAnsi="Times New Roman" w:cs="Times New Roman"/>
          <w:sz w:val="24"/>
          <w:szCs w:val="24"/>
        </w:rPr>
        <w:t>I</w:t>
      </w:r>
      <w:r>
        <w:rPr>
          <w:rFonts w:ascii="Times New Roman" w:eastAsia="Times New Roman" w:hAnsi="Times New Roman" w:cs="Times New Roman"/>
          <w:sz w:val="24"/>
          <w:szCs w:val="24"/>
        </w:rPr>
        <w:t>ndigenous Rights Act of 1993</w:t>
      </w:r>
      <w:r w:rsidR="00ED46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D46FD">
        <w:rPr>
          <w:rFonts w:ascii="Times New Roman" w:eastAsia="Times New Roman" w:hAnsi="Times New Roman" w:cs="Times New Roman"/>
          <w:sz w:val="24"/>
          <w:szCs w:val="24"/>
        </w:rPr>
        <w:t>w</w:t>
      </w:r>
      <w:r>
        <w:rPr>
          <w:rFonts w:ascii="Times New Roman" w:eastAsia="Times New Roman" w:hAnsi="Times New Roman" w:cs="Times New Roman"/>
          <w:sz w:val="24"/>
          <w:szCs w:val="24"/>
        </w:rPr>
        <w:t>hich was explicitly added by the indigenous protection act of 2011</w:t>
      </w:r>
      <w:r w:rsidR="00ED46F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tates that the </w:t>
      </w:r>
      <w:r w:rsidR="00ED46FD">
        <w:rPr>
          <w:rFonts w:ascii="Times New Roman" w:eastAsia="Times New Roman" w:hAnsi="Times New Roman" w:cs="Times New Roman"/>
          <w:sz w:val="24"/>
          <w:szCs w:val="24"/>
        </w:rPr>
        <w:t>S</w:t>
      </w:r>
      <w:r>
        <w:rPr>
          <w:rFonts w:ascii="Times New Roman" w:eastAsia="Times New Roman" w:hAnsi="Times New Roman" w:cs="Times New Roman"/>
          <w:sz w:val="24"/>
          <w:szCs w:val="24"/>
        </w:rPr>
        <w:t>tate must consult with the indigenous peoples on actions taken towards or about their lands. This includes actions that may be detrimental to their well-being or the natural environment in which they reside.</w:t>
      </w:r>
      <w:r>
        <w:rPr>
          <w:rFonts w:ascii="Times New Roman" w:eastAsia="Times New Roman" w:hAnsi="Times New Roman" w:cs="Times New Roman"/>
          <w:sz w:val="24"/>
          <w:szCs w:val="24"/>
          <w:vertAlign w:val="superscript"/>
        </w:rPr>
        <w:footnoteReference w:id="46"/>
      </w:r>
      <w:r>
        <w:rPr>
          <w:rFonts w:ascii="Times New Roman" w:eastAsia="Times New Roman" w:hAnsi="Times New Roman" w:cs="Times New Roman"/>
          <w:sz w:val="24"/>
          <w:szCs w:val="24"/>
        </w:rPr>
        <w:t xml:space="preserve"> </w:t>
      </w:r>
    </w:p>
    <w:p w14:paraId="13B28208" w14:textId="32B1C166"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this end, the state failed to properly inform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people of the potentially extremely detrimental impacts that opening the mine on the </w:t>
      </w:r>
      <w:proofErr w:type="spellStart"/>
      <w:r>
        <w:rPr>
          <w:rFonts w:ascii="Times New Roman" w:eastAsia="Times New Roman" w:hAnsi="Times New Roman" w:cs="Times New Roman"/>
          <w:sz w:val="24"/>
          <w:szCs w:val="24"/>
        </w:rPr>
        <w:t>Trillos</w:t>
      </w:r>
      <w:proofErr w:type="spellEnd"/>
      <w:r>
        <w:rPr>
          <w:rFonts w:ascii="Times New Roman" w:eastAsia="Times New Roman" w:hAnsi="Times New Roman" w:cs="Times New Roman"/>
          <w:sz w:val="24"/>
          <w:szCs w:val="24"/>
        </w:rPr>
        <w:t xml:space="preserve"> River might have on their land. The indigenous people feel as though they were misled on the effects of the establishment of this mine.</w:t>
      </w:r>
      <w:r>
        <w:rPr>
          <w:rFonts w:ascii="Times New Roman" w:eastAsia="Times New Roman" w:hAnsi="Times New Roman" w:cs="Times New Roman"/>
          <w:sz w:val="24"/>
          <w:szCs w:val="24"/>
          <w:vertAlign w:val="superscript"/>
        </w:rPr>
        <w:footnoteReference w:id="47"/>
      </w:r>
      <w:r>
        <w:rPr>
          <w:rFonts w:ascii="Times New Roman" w:eastAsia="Times New Roman" w:hAnsi="Times New Roman" w:cs="Times New Roman"/>
          <w:sz w:val="24"/>
          <w:szCs w:val="24"/>
        </w:rPr>
        <w:t xml:space="preserve"> However, what is worse is the fact </w:t>
      </w:r>
      <w:r w:rsidR="00ED46FD">
        <w:rPr>
          <w:rFonts w:ascii="Times New Roman" w:eastAsia="Times New Roman" w:hAnsi="Times New Roman" w:cs="Times New Roman"/>
          <w:sz w:val="24"/>
          <w:szCs w:val="24"/>
        </w:rPr>
        <w:t>t</w:t>
      </w:r>
      <w:r>
        <w:rPr>
          <w:rFonts w:ascii="Times New Roman" w:eastAsia="Times New Roman" w:hAnsi="Times New Roman" w:cs="Times New Roman"/>
          <w:sz w:val="24"/>
          <w:szCs w:val="24"/>
        </w:rPr>
        <w:t>hat the indigenous people were never consulted on the movement or redirection of the river.</w:t>
      </w:r>
      <w:r>
        <w:rPr>
          <w:rFonts w:ascii="Times New Roman" w:eastAsia="Times New Roman" w:hAnsi="Times New Roman" w:cs="Times New Roman"/>
          <w:sz w:val="24"/>
          <w:szCs w:val="24"/>
          <w:vertAlign w:val="superscript"/>
        </w:rPr>
        <w:footnoteReference w:id="48"/>
      </w:r>
      <w:r>
        <w:rPr>
          <w:rFonts w:ascii="Times New Roman" w:eastAsia="Times New Roman" w:hAnsi="Times New Roman" w:cs="Times New Roman"/>
          <w:sz w:val="24"/>
          <w:szCs w:val="24"/>
        </w:rPr>
        <w:t xml:space="preserve"> This violates not only domestic agreements that the country has signed on to, but also neglects the International agreement that is the American Declaration on the Rights of Indigenous Peoples.</w:t>
      </w:r>
    </w:p>
    <w:p w14:paraId="42331DD6" w14:textId="1E74784C" w:rsidR="00243E5B" w:rsidRDefault="00000000">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case that what represent the president of this current situation is the case of the </w:t>
      </w:r>
      <w:proofErr w:type="spellStart"/>
      <w:r>
        <w:rPr>
          <w:rFonts w:ascii="Times New Roman" w:eastAsia="Times New Roman" w:hAnsi="Times New Roman" w:cs="Times New Roman"/>
          <w:i/>
          <w:sz w:val="24"/>
          <w:szCs w:val="24"/>
        </w:rPr>
        <w:t>Kichwa</w:t>
      </w:r>
      <w:proofErr w:type="spellEnd"/>
      <w:r>
        <w:rPr>
          <w:rFonts w:ascii="Times New Roman" w:eastAsia="Times New Roman" w:hAnsi="Times New Roman" w:cs="Times New Roman"/>
          <w:i/>
          <w:sz w:val="24"/>
          <w:szCs w:val="24"/>
        </w:rPr>
        <w:t xml:space="preserve"> Indigenous People of Sarayaku v. Ecuador</w:t>
      </w:r>
      <w:r>
        <w:rPr>
          <w:rFonts w:ascii="Times New Roman" w:eastAsia="Times New Roman" w:hAnsi="Times New Roman" w:cs="Times New Roman"/>
          <w:sz w:val="24"/>
          <w:szCs w:val="24"/>
        </w:rPr>
        <w:t xml:space="preserve">. The facts of this case are that the State allowed a private oil company to explore and exploit the land of the </w:t>
      </w:r>
      <w:proofErr w:type="spellStart"/>
      <w:r>
        <w:rPr>
          <w:rFonts w:ascii="Times New Roman" w:eastAsia="Times New Roman" w:hAnsi="Times New Roman" w:cs="Times New Roman"/>
          <w:sz w:val="24"/>
          <w:szCs w:val="24"/>
        </w:rPr>
        <w:t>Kichwa</w:t>
      </w:r>
      <w:proofErr w:type="spellEnd"/>
      <w:r>
        <w:rPr>
          <w:rFonts w:ascii="Times New Roman" w:eastAsia="Times New Roman" w:hAnsi="Times New Roman" w:cs="Times New Roman"/>
          <w:sz w:val="24"/>
          <w:szCs w:val="24"/>
        </w:rPr>
        <w:t xml:space="preserve"> Indigenous people </w:t>
      </w:r>
      <w:r w:rsidR="00ED46FD">
        <w:rPr>
          <w:rFonts w:ascii="Times New Roman" w:eastAsia="Times New Roman" w:hAnsi="Times New Roman" w:cs="Times New Roman"/>
          <w:sz w:val="24"/>
          <w:szCs w:val="24"/>
        </w:rPr>
        <w:t>w</w:t>
      </w:r>
      <w:r>
        <w:rPr>
          <w:rFonts w:ascii="Times New Roman" w:eastAsia="Times New Roman" w:hAnsi="Times New Roman" w:cs="Times New Roman"/>
          <w:sz w:val="24"/>
          <w:szCs w:val="24"/>
        </w:rPr>
        <w:t xml:space="preserve">ithout their consent or permission. </w:t>
      </w:r>
      <w:r w:rsidR="00ED46FD">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his agreement allowed the oil company to be extremely invasive upon the lands, acting in ways that were detrimental to the land. </w:t>
      </w:r>
      <w:r w:rsidR="00ED46FD">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hese actions included the use of things like high-powered explosives in several parts of the lands. This was an express failure on the </w:t>
      </w:r>
      <w:r w:rsidR="00ED46F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tate's part to abide by </w:t>
      </w:r>
      <w:r w:rsidR="00ED46FD">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agreements.</w:t>
      </w:r>
      <w:r>
        <w:rPr>
          <w:rFonts w:ascii="Times New Roman" w:eastAsia="Times New Roman" w:hAnsi="Times New Roman" w:cs="Times New Roman"/>
          <w:sz w:val="24"/>
          <w:szCs w:val="24"/>
          <w:vertAlign w:val="superscript"/>
        </w:rPr>
        <w:footnoteReference w:id="49"/>
      </w:r>
      <w:r>
        <w:rPr>
          <w:rFonts w:ascii="Times New Roman" w:eastAsia="Times New Roman" w:hAnsi="Times New Roman" w:cs="Times New Roman"/>
          <w:sz w:val="24"/>
          <w:szCs w:val="24"/>
        </w:rPr>
        <w:t xml:space="preserve"> The violation was not accepted before and it should not be accepted now.</w:t>
      </w:r>
    </w:p>
    <w:p w14:paraId="3E0C65AC" w14:textId="3486E9F3" w:rsidR="00243E5B" w:rsidRDefault="00000000">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The key difference between these two cases is the fact that we are talking about the relocation of a river as opposed to the establishment of a min</w:t>
      </w:r>
      <w:r w:rsidR="00ED46FD">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The indigenous people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have no problems with the establishment of the mine, </w:t>
      </w:r>
      <w:proofErr w:type="gramStart"/>
      <w:r>
        <w:rPr>
          <w:rFonts w:ascii="Times New Roman" w:eastAsia="Times New Roman" w:hAnsi="Times New Roman" w:cs="Times New Roman"/>
          <w:sz w:val="24"/>
          <w:szCs w:val="24"/>
        </w:rPr>
        <w:t>however</w:t>
      </w:r>
      <w:proofErr w:type="gramEnd"/>
      <w:r>
        <w:rPr>
          <w:rFonts w:ascii="Times New Roman" w:eastAsia="Times New Roman" w:hAnsi="Times New Roman" w:cs="Times New Roman"/>
          <w:sz w:val="24"/>
          <w:szCs w:val="24"/>
        </w:rPr>
        <w:t xml:space="preserve"> poses its grievances with the lack of information given to them and the relocating of the river without their consent.</w:t>
      </w:r>
      <w:r>
        <w:rPr>
          <w:rFonts w:ascii="Times New Roman" w:eastAsia="Times New Roman" w:hAnsi="Times New Roman" w:cs="Times New Roman"/>
          <w:sz w:val="24"/>
          <w:szCs w:val="24"/>
          <w:vertAlign w:val="superscript"/>
        </w:rPr>
        <w:footnoteReference w:id="50"/>
      </w:r>
      <w:r>
        <w:rPr>
          <w:rFonts w:ascii="Times New Roman" w:eastAsia="Times New Roman" w:hAnsi="Times New Roman" w:cs="Times New Roman"/>
          <w:sz w:val="24"/>
          <w:szCs w:val="24"/>
        </w:rPr>
        <w:t xml:space="preserve"> </w:t>
      </w:r>
      <w:r w:rsidR="00ED46FD">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s explained in Article five of the Indigenous Protections Act of 2011, </w:t>
      </w:r>
      <w:r w:rsidR="00ED46FD">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hey have a right to consultation and consent to such actions. This right is furthered by article 23.1 of the American Declaration on the Rights of Indigenous Peoples. The fact of the case is that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people were not consulted on </w:t>
      </w:r>
      <w:proofErr w:type="gramStart"/>
      <w:r>
        <w:rPr>
          <w:rFonts w:ascii="Times New Roman" w:eastAsia="Times New Roman" w:hAnsi="Times New Roman" w:cs="Times New Roman"/>
          <w:sz w:val="24"/>
          <w:szCs w:val="24"/>
        </w:rPr>
        <w:t>whether or not</w:t>
      </w:r>
      <w:proofErr w:type="gramEnd"/>
      <w:r>
        <w:rPr>
          <w:rFonts w:ascii="Times New Roman" w:eastAsia="Times New Roman" w:hAnsi="Times New Roman" w:cs="Times New Roman"/>
          <w:sz w:val="24"/>
          <w:szCs w:val="24"/>
        </w:rPr>
        <w:t xml:space="preserve"> they were consulted on the movement of not just a river, but on a central part of their heritage, culture, and religion. </w:t>
      </w:r>
      <w:r>
        <w:br w:type="page"/>
      </w:r>
    </w:p>
    <w:p w14:paraId="7CA54389" w14:textId="77777777" w:rsidR="00243E5B" w:rsidRDefault="00000000">
      <w:pPr>
        <w:pStyle w:val="Heading2"/>
        <w:keepNext w:val="0"/>
        <w:keepLines w:val="0"/>
        <w:spacing w:before="100" w:after="0"/>
        <w:rPr>
          <w:rFonts w:ascii="Times New Roman" w:eastAsia="Times New Roman" w:hAnsi="Times New Roman" w:cs="Times New Roman"/>
          <w:b/>
          <w:sz w:val="24"/>
          <w:szCs w:val="24"/>
          <w:u w:val="single"/>
        </w:rPr>
      </w:pPr>
      <w:bookmarkStart w:id="26" w:name="_cxl4bgpg33ge" w:colFirst="0" w:colLast="0"/>
      <w:bookmarkEnd w:id="26"/>
      <w:r>
        <w:rPr>
          <w:rFonts w:ascii="Times New Roman" w:eastAsia="Times New Roman" w:hAnsi="Times New Roman" w:cs="Times New Roman"/>
          <w:b/>
          <w:sz w:val="24"/>
          <w:szCs w:val="24"/>
          <w:u w:val="single"/>
        </w:rPr>
        <w:t>Request for Relief</w:t>
      </w:r>
    </w:p>
    <w:p w14:paraId="6B1CC69E" w14:textId="77777777" w:rsidR="00243E5B"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9FC924F" w14:textId="77777777" w:rsidR="00243E5B" w:rsidRDefault="00000000">
      <w:pPr>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For the foregoing reasons, the petitioner respectfully asks that the court:</w:t>
      </w:r>
    </w:p>
    <w:p w14:paraId="7985C4BA" w14:textId="77777777" w:rsidR="00243E5B"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BD90038" w14:textId="77777777" w:rsidR="00243E5B" w:rsidRDefault="00000000">
      <w:pPr>
        <w:numPr>
          <w:ilvl w:val="0"/>
          <w:numId w:val="1"/>
        </w:numPr>
        <w:spacing w:line="480" w:lineRule="auto"/>
        <w:ind w:right="880"/>
        <w:rPr>
          <w:rFonts w:ascii="Times New Roman" w:eastAsia="Times New Roman" w:hAnsi="Times New Roman" w:cs="Times New Roman"/>
          <w:sz w:val="24"/>
          <w:szCs w:val="24"/>
        </w:rPr>
      </w:pPr>
      <w:r>
        <w:rPr>
          <w:rFonts w:ascii="Times New Roman" w:eastAsia="Times New Roman" w:hAnsi="Times New Roman" w:cs="Times New Roman"/>
          <w:sz w:val="24"/>
          <w:szCs w:val="24"/>
        </w:rPr>
        <w:t>Apply all recommendations of the Inter-American Commission on Human Rights</w:t>
      </w:r>
    </w:p>
    <w:p w14:paraId="6EEA2681" w14:textId="77777777" w:rsidR="00243E5B" w:rsidRDefault="00000000">
      <w:pPr>
        <w:numPr>
          <w:ilvl w:val="1"/>
          <w:numId w:val="1"/>
        </w:numPr>
        <w:spacing w:line="480" w:lineRule="auto"/>
        <w:ind w:right="8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Recognize the </w:t>
      </w:r>
      <w:proofErr w:type="spellStart"/>
      <w:r>
        <w:rPr>
          <w:rFonts w:ascii="Times New Roman" w:eastAsia="Times New Roman" w:hAnsi="Times New Roman" w:cs="Times New Roman"/>
          <w:sz w:val="24"/>
          <w:szCs w:val="24"/>
        </w:rPr>
        <w:t>Benarnoldo</w:t>
      </w:r>
      <w:proofErr w:type="spellEnd"/>
      <w:r>
        <w:rPr>
          <w:rFonts w:ascii="Times New Roman" w:eastAsia="Times New Roman" w:hAnsi="Times New Roman" w:cs="Times New Roman"/>
          <w:sz w:val="24"/>
          <w:szCs w:val="24"/>
        </w:rPr>
        <w:t xml:space="preserve"> tribe’s right to land given to them through the National Indigenous Rights Act of 1993</w:t>
      </w:r>
    </w:p>
    <w:p w14:paraId="27D40B9D" w14:textId="7EDEF8CA" w:rsidR="00243E5B" w:rsidRDefault="000376F6">
      <w:pPr>
        <w:numPr>
          <w:ilvl w:val="1"/>
          <w:numId w:val="1"/>
        </w:numPr>
        <w:spacing w:line="480" w:lineRule="auto"/>
        <w:ind w:right="8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Recognize that through the National Indigenous Protections Act of 2011, no displacement from the </w:t>
      </w:r>
      <w:proofErr w:type="spellStart"/>
      <w:r>
        <w:rPr>
          <w:rFonts w:ascii="Times New Roman" w:eastAsia="Times New Roman" w:hAnsi="Times New Roman" w:cs="Times New Roman"/>
          <w:sz w:val="24"/>
          <w:szCs w:val="24"/>
        </w:rPr>
        <w:t>Benarnoldo</w:t>
      </w:r>
      <w:proofErr w:type="spellEnd"/>
      <w:r>
        <w:rPr>
          <w:rFonts w:ascii="Times New Roman" w:eastAsia="Times New Roman" w:hAnsi="Times New Roman" w:cs="Times New Roman"/>
          <w:sz w:val="24"/>
          <w:szCs w:val="24"/>
        </w:rPr>
        <w:t xml:space="preserve"> tribe’s lands in which they practice their religious rituals should be allowed. </w:t>
      </w:r>
    </w:p>
    <w:p w14:paraId="0CCE5D7B" w14:textId="163EC392" w:rsidR="00243E5B" w:rsidRDefault="00000000">
      <w:pPr>
        <w:numPr>
          <w:ilvl w:val="0"/>
          <w:numId w:val="1"/>
        </w:numPr>
        <w:spacing w:line="480" w:lineRule="auto"/>
        <w:ind w:right="880"/>
        <w:rPr>
          <w:rFonts w:ascii="Times New Roman" w:eastAsia="Times New Roman" w:hAnsi="Times New Roman" w:cs="Times New Roman"/>
          <w:sz w:val="24"/>
          <w:szCs w:val="24"/>
        </w:rPr>
      </w:pPr>
      <w:r>
        <w:rPr>
          <w:rFonts w:ascii="Times New Roman" w:eastAsia="Times New Roman" w:hAnsi="Times New Roman" w:cs="Times New Roman"/>
          <w:sz w:val="24"/>
          <w:szCs w:val="24"/>
        </w:rPr>
        <w:t>Instruct the</w:t>
      </w:r>
      <w:r w:rsidR="00ED46FD">
        <w:rPr>
          <w:rFonts w:ascii="Times New Roman" w:eastAsia="Times New Roman" w:hAnsi="Times New Roman" w:cs="Times New Roman"/>
          <w:sz w:val="24"/>
          <w:szCs w:val="24"/>
        </w:rPr>
        <w:t xml:space="preserve"> </w:t>
      </w:r>
      <w:r w:rsidR="000376F6">
        <w:rPr>
          <w:rFonts w:ascii="Times New Roman" w:eastAsia="Times New Roman" w:hAnsi="Times New Roman" w:cs="Times New Roman"/>
          <w:sz w:val="24"/>
          <w:szCs w:val="24"/>
        </w:rPr>
        <w:t>creation of</w:t>
      </w:r>
      <w:r>
        <w:rPr>
          <w:rFonts w:ascii="Times New Roman" w:eastAsia="Times New Roman" w:hAnsi="Times New Roman" w:cs="Times New Roman"/>
          <w:sz w:val="24"/>
          <w:szCs w:val="24"/>
        </w:rPr>
        <w:t xml:space="preserve"> a long-term fund in case of future bauxite, lithium, and similar cases of pollution which could harm the environment.</w:t>
      </w:r>
    </w:p>
    <w:p w14:paraId="63E4EA2F" w14:textId="053324F0" w:rsidR="00243E5B" w:rsidRDefault="00000000">
      <w:pPr>
        <w:numPr>
          <w:ilvl w:val="0"/>
          <w:numId w:val="1"/>
        </w:numPr>
        <w:spacing w:line="480" w:lineRule="auto"/>
        <w:ind w:right="8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the Republic of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w:t>
      </w:r>
      <w:r w:rsidR="00ED46FD">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 xml:space="preserve">make more consistent environmental check-ups on the environments subject to harm or danger from any mines or deposits. </w:t>
      </w:r>
    </w:p>
    <w:p w14:paraId="5FF8F73F" w14:textId="77777777" w:rsidR="00243E5B" w:rsidRDefault="00000000">
      <w:pPr>
        <w:numPr>
          <w:ilvl w:val="0"/>
          <w:numId w:val="1"/>
        </w:numPr>
        <w:spacing w:line="480" w:lineRule="auto"/>
        <w:ind w:right="8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Request a financial compensation for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people of $USD 2 million as prescribed by the provincial courts.</w:t>
      </w:r>
    </w:p>
    <w:p w14:paraId="6D32147C" w14:textId="77777777" w:rsidR="00243E5B" w:rsidRDefault="00000000">
      <w:pPr>
        <w:numPr>
          <w:ilvl w:val="0"/>
          <w:numId w:val="1"/>
        </w:numPr>
        <w:spacing w:line="480" w:lineRule="auto"/>
        <w:ind w:right="8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Find in favor of the </w:t>
      </w:r>
      <w:proofErr w:type="spellStart"/>
      <w:r>
        <w:rPr>
          <w:rFonts w:ascii="Times New Roman" w:eastAsia="Times New Roman" w:hAnsi="Times New Roman" w:cs="Times New Roman"/>
          <w:sz w:val="24"/>
          <w:szCs w:val="24"/>
        </w:rPr>
        <w:t>Benarnaldo</w:t>
      </w:r>
      <w:proofErr w:type="spellEnd"/>
      <w:r>
        <w:rPr>
          <w:rFonts w:ascii="Times New Roman" w:eastAsia="Times New Roman" w:hAnsi="Times New Roman" w:cs="Times New Roman"/>
          <w:sz w:val="24"/>
          <w:szCs w:val="24"/>
        </w:rPr>
        <w:t xml:space="preserve"> tribe in the case at hand by ruling violations of Articles 1 and 12 of the American Convention on Human Rights; Articles 3 of the American Declaration of the Rights and Duties of Man; and Articles 13.1, 19, and 23.1 of the American Declaration on the Rights of Indigenous Peoples.</w:t>
      </w:r>
    </w:p>
    <w:sectPr w:rsidR="00243E5B">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CF3F1" w14:textId="77777777" w:rsidR="001A5916" w:rsidRDefault="001A5916">
      <w:pPr>
        <w:spacing w:line="240" w:lineRule="auto"/>
      </w:pPr>
      <w:r>
        <w:separator/>
      </w:r>
    </w:p>
  </w:endnote>
  <w:endnote w:type="continuationSeparator" w:id="0">
    <w:p w14:paraId="29FA2DED" w14:textId="77777777" w:rsidR="001A5916" w:rsidRDefault="001A59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DDF19" w14:textId="77777777" w:rsidR="00243E5B" w:rsidRDefault="00000000">
    <w:pPr>
      <w:jc w:val="center"/>
      <w:rPr>
        <w:rFonts w:ascii="Times New Roman" w:eastAsia="Times New Roman" w:hAnsi="Times New Roman" w:cs="Times New Roman"/>
        <w:b/>
        <w:i/>
        <w:sz w:val="24"/>
        <w:szCs w:val="24"/>
      </w:rPr>
    </w:pPr>
    <w:r>
      <w:rPr>
        <w:rFonts w:ascii="Times New Roman" w:eastAsia="Times New Roman" w:hAnsi="Times New Roman" w:cs="Times New Roman"/>
        <w:i/>
        <w:sz w:val="24"/>
        <w:szCs w:val="24"/>
      </w:rPr>
      <w:t xml:space="preserve">Page </w:t>
    </w:r>
    <w:r>
      <w:rPr>
        <w:rFonts w:ascii="Times New Roman" w:eastAsia="Times New Roman" w:hAnsi="Times New Roman" w:cs="Times New Roman"/>
        <w:b/>
        <w:i/>
        <w:sz w:val="24"/>
        <w:szCs w:val="24"/>
      </w:rPr>
      <w:fldChar w:fldCharType="begin"/>
    </w:r>
    <w:r>
      <w:rPr>
        <w:rFonts w:ascii="Times New Roman" w:eastAsia="Times New Roman" w:hAnsi="Times New Roman" w:cs="Times New Roman"/>
        <w:b/>
        <w:i/>
        <w:sz w:val="24"/>
        <w:szCs w:val="24"/>
      </w:rPr>
      <w:instrText>PAGE</w:instrText>
    </w:r>
    <w:r>
      <w:rPr>
        <w:rFonts w:ascii="Times New Roman" w:eastAsia="Times New Roman" w:hAnsi="Times New Roman" w:cs="Times New Roman"/>
        <w:b/>
        <w:i/>
        <w:sz w:val="24"/>
        <w:szCs w:val="24"/>
      </w:rPr>
      <w:fldChar w:fldCharType="separate"/>
    </w:r>
    <w:r w:rsidR="00425F13">
      <w:rPr>
        <w:rFonts w:ascii="Times New Roman" w:eastAsia="Times New Roman" w:hAnsi="Times New Roman" w:cs="Times New Roman"/>
        <w:b/>
        <w:i/>
        <w:noProof/>
        <w:sz w:val="24"/>
        <w:szCs w:val="24"/>
      </w:rPr>
      <w:t>1</w:t>
    </w:r>
    <w:r>
      <w:rPr>
        <w:rFonts w:ascii="Times New Roman" w:eastAsia="Times New Roman" w:hAnsi="Times New Roman" w:cs="Times New Roman"/>
        <w:b/>
        <w:i/>
        <w:sz w:val="24"/>
        <w:szCs w:val="24"/>
      </w:rPr>
      <w:fldChar w:fldCharType="end"/>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of </w:t>
    </w:r>
    <w:r>
      <w:rPr>
        <w:rFonts w:ascii="Times New Roman" w:eastAsia="Times New Roman" w:hAnsi="Times New Roman" w:cs="Times New Roman"/>
        <w:b/>
        <w:i/>
        <w:sz w:val="24"/>
        <w:szCs w:val="24"/>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EB48A" w14:textId="77777777" w:rsidR="001A5916" w:rsidRDefault="001A5916">
      <w:pPr>
        <w:spacing w:line="240" w:lineRule="auto"/>
      </w:pPr>
      <w:r>
        <w:separator/>
      </w:r>
    </w:p>
  </w:footnote>
  <w:footnote w:type="continuationSeparator" w:id="0">
    <w:p w14:paraId="7C42358B" w14:textId="77777777" w:rsidR="001A5916" w:rsidRDefault="001A5916">
      <w:pPr>
        <w:spacing w:line="240" w:lineRule="auto"/>
      </w:pPr>
      <w:r>
        <w:continuationSeparator/>
      </w:r>
    </w:p>
  </w:footnote>
  <w:footnote w:id="1">
    <w:p w14:paraId="5CF0B4DD"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1.1</w:t>
      </w:r>
    </w:p>
  </w:footnote>
  <w:footnote w:id="2">
    <w:p w14:paraId="19576F3C"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1.2</w:t>
      </w:r>
    </w:p>
  </w:footnote>
  <w:footnote w:id="3">
    <w:p w14:paraId="4A530852"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2.1</w:t>
      </w:r>
    </w:p>
  </w:footnote>
  <w:footnote w:id="4">
    <w:p w14:paraId="6E72FC1E"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2.3</w:t>
      </w:r>
    </w:p>
  </w:footnote>
  <w:footnote w:id="5">
    <w:p w14:paraId="4C3EEBEE"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Ibid.</w:t>
      </w:r>
    </w:p>
  </w:footnote>
  <w:footnote w:id="6">
    <w:p w14:paraId="24EDEBFE"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2.4</w:t>
      </w:r>
    </w:p>
  </w:footnote>
  <w:footnote w:id="7">
    <w:p w14:paraId="568343A4"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4.1</w:t>
      </w:r>
    </w:p>
  </w:footnote>
  <w:footnote w:id="8">
    <w:p w14:paraId="04C6D8A7"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Clarification</w:t>
      </w:r>
      <w:proofErr w:type="spellEnd"/>
      <w:r w:rsidRPr="00425F13">
        <w:rPr>
          <w:rFonts w:ascii="Cambria" w:eastAsia="Cambria" w:hAnsi="Cambria" w:cs="Cambria"/>
          <w:sz w:val="20"/>
          <w:szCs w:val="20"/>
          <w:lang w:val="es-AR"/>
        </w:rPr>
        <w:t xml:space="preserve"> </w:t>
      </w:r>
      <w:proofErr w:type="spellStart"/>
      <w:r w:rsidRPr="00425F13">
        <w:rPr>
          <w:rFonts w:ascii="Cambria" w:eastAsia="Cambria" w:hAnsi="Cambria" w:cs="Cambria"/>
          <w:sz w:val="20"/>
          <w:szCs w:val="20"/>
          <w:lang w:val="es-AR"/>
        </w:rPr>
        <w:t>Question</w:t>
      </w:r>
      <w:proofErr w:type="spellEnd"/>
      <w:r w:rsidRPr="00425F13">
        <w:rPr>
          <w:rFonts w:ascii="Cambria" w:eastAsia="Cambria" w:hAnsi="Cambria" w:cs="Cambria"/>
          <w:sz w:val="20"/>
          <w:szCs w:val="20"/>
          <w:lang w:val="es-AR"/>
        </w:rPr>
        <w:t xml:space="preserve"> 34</w:t>
      </w:r>
    </w:p>
  </w:footnote>
  <w:footnote w:id="9">
    <w:p w14:paraId="5B722BA0"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Clarification</w:t>
      </w:r>
      <w:proofErr w:type="spellEnd"/>
      <w:r w:rsidRPr="00425F13">
        <w:rPr>
          <w:rFonts w:ascii="Cambria" w:eastAsia="Cambria" w:hAnsi="Cambria" w:cs="Cambria"/>
          <w:sz w:val="20"/>
          <w:szCs w:val="20"/>
          <w:lang w:val="es-AR"/>
        </w:rPr>
        <w:t xml:space="preserve"> </w:t>
      </w:r>
      <w:proofErr w:type="spellStart"/>
      <w:r w:rsidRPr="00425F13">
        <w:rPr>
          <w:rFonts w:ascii="Cambria" w:eastAsia="Cambria" w:hAnsi="Cambria" w:cs="Cambria"/>
          <w:sz w:val="20"/>
          <w:szCs w:val="20"/>
          <w:lang w:val="es-AR"/>
        </w:rPr>
        <w:t>Question</w:t>
      </w:r>
      <w:proofErr w:type="spellEnd"/>
      <w:r w:rsidRPr="00425F13">
        <w:rPr>
          <w:rFonts w:ascii="Cambria" w:eastAsia="Cambria" w:hAnsi="Cambria" w:cs="Cambria"/>
          <w:sz w:val="20"/>
          <w:szCs w:val="20"/>
          <w:lang w:val="es-AR"/>
        </w:rPr>
        <w:t xml:space="preserve"> 35</w:t>
      </w:r>
    </w:p>
  </w:footnote>
  <w:footnote w:id="10">
    <w:p w14:paraId="4600725D"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4.2</w:t>
      </w:r>
    </w:p>
  </w:footnote>
  <w:footnote w:id="11">
    <w:p w14:paraId="1A304071"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Clarification</w:t>
      </w:r>
      <w:proofErr w:type="spellEnd"/>
      <w:r w:rsidRPr="00425F13">
        <w:rPr>
          <w:rFonts w:ascii="Cambria" w:eastAsia="Cambria" w:hAnsi="Cambria" w:cs="Cambria"/>
          <w:sz w:val="20"/>
          <w:szCs w:val="20"/>
          <w:lang w:val="es-AR"/>
        </w:rPr>
        <w:t xml:space="preserve"> </w:t>
      </w:r>
      <w:proofErr w:type="spellStart"/>
      <w:r w:rsidRPr="00425F13">
        <w:rPr>
          <w:rFonts w:ascii="Cambria" w:eastAsia="Cambria" w:hAnsi="Cambria" w:cs="Cambria"/>
          <w:sz w:val="20"/>
          <w:szCs w:val="20"/>
          <w:lang w:val="es-AR"/>
        </w:rPr>
        <w:t>Question</w:t>
      </w:r>
      <w:proofErr w:type="spellEnd"/>
      <w:r w:rsidRPr="00425F13">
        <w:rPr>
          <w:rFonts w:ascii="Cambria" w:eastAsia="Cambria" w:hAnsi="Cambria" w:cs="Cambria"/>
          <w:sz w:val="20"/>
          <w:szCs w:val="20"/>
          <w:lang w:val="es-AR"/>
        </w:rPr>
        <w:t xml:space="preserve"> 59 </w:t>
      </w:r>
    </w:p>
  </w:footnote>
  <w:footnote w:id="12">
    <w:p w14:paraId="4824DCAF"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Clarification</w:t>
      </w:r>
      <w:proofErr w:type="spellEnd"/>
      <w:r w:rsidRPr="00425F13">
        <w:rPr>
          <w:rFonts w:ascii="Cambria" w:eastAsia="Cambria" w:hAnsi="Cambria" w:cs="Cambria"/>
          <w:sz w:val="20"/>
          <w:szCs w:val="20"/>
          <w:lang w:val="es-AR"/>
        </w:rPr>
        <w:t xml:space="preserve"> </w:t>
      </w:r>
      <w:proofErr w:type="spellStart"/>
      <w:r w:rsidRPr="00425F13">
        <w:rPr>
          <w:rFonts w:ascii="Cambria" w:eastAsia="Cambria" w:hAnsi="Cambria" w:cs="Cambria"/>
          <w:sz w:val="20"/>
          <w:szCs w:val="20"/>
          <w:lang w:val="es-AR"/>
        </w:rPr>
        <w:t>Question</w:t>
      </w:r>
      <w:proofErr w:type="spellEnd"/>
      <w:r w:rsidRPr="00425F13">
        <w:rPr>
          <w:rFonts w:ascii="Cambria" w:eastAsia="Cambria" w:hAnsi="Cambria" w:cs="Cambria"/>
          <w:sz w:val="20"/>
          <w:szCs w:val="20"/>
          <w:lang w:val="es-AR"/>
        </w:rPr>
        <w:t xml:space="preserve"> 5</w:t>
      </w:r>
    </w:p>
  </w:footnote>
  <w:footnote w:id="13">
    <w:p w14:paraId="4932F0CD"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4.3</w:t>
      </w:r>
    </w:p>
  </w:footnote>
  <w:footnote w:id="14">
    <w:p w14:paraId="424CD066" w14:textId="77777777" w:rsidR="00243E5B" w:rsidRPr="00425F13" w:rsidRDefault="00000000">
      <w:pPr>
        <w:spacing w:line="240" w:lineRule="auto"/>
        <w:rPr>
          <w:rFonts w:ascii="Cambria" w:eastAsia="Cambria" w:hAnsi="Cambria" w:cs="Cambria"/>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4.4</w:t>
      </w:r>
    </w:p>
  </w:footnote>
  <w:footnote w:id="15">
    <w:p w14:paraId="17E3B06D"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2.3</w:t>
      </w:r>
    </w:p>
  </w:footnote>
  <w:footnote w:id="16">
    <w:p w14:paraId="14F3F122"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2.4</w:t>
      </w:r>
    </w:p>
  </w:footnote>
  <w:footnote w:id="17">
    <w:p w14:paraId="6D766D48"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5.1</w:t>
      </w:r>
    </w:p>
  </w:footnote>
  <w:footnote w:id="18">
    <w:p w14:paraId="734B4B61"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r w:rsidRPr="00425F13">
        <w:rPr>
          <w:rFonts w:ascii="Cambria" w:eastAsia="Cambria" w:hAnsi="Cambria" w:cs="Cambria"/>
          <w:sz w:val="20"/>
          <w:szCs w:val="20"/>
          <w:lang w:val="es-AR"/>
        </w:rPr>
        <w:t>Ibid.</w:t>
      </w:r>
    </w:p>
  </w:footnote>
  <w:footnote w:id="19">
    <w:p w14:paraId="2A97BB8E"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5.2</w:t>
      </w:r>
    </w:p>
  </w:footnote>
  <w:footnote w:id="20">
    <w:p w14:paraId="1A02FF0B"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6.1</w:t>
      </w:r>
    </w:p>
  </w:footnote>
  <w:footnote w:id="21">
    <w:p w14:paraId="7FFF1545"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r w:rsidRPr="00425F13">
        <w:rPr>
          <w:rFonts w:ascii="Cambria" w:eastAsia="Cambria" w:hAnsi="Cambria" w:cs="Cambria"/>
          <w:sz w:val="20"/>
          <w:szCs w:val="20"/>
          <w:lang w:val="es-AR"/>
        </w:rPr>
        <w:t>Ibid.</w:t>
      </w:r>
    </w:p>
  </w:footnote>
  <w:footnote w:id="22">
    <w:p w14:paraId="77DFF4D2"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7.2</w:t>
      </w:r>
    </w:p>
  </w:footnote>
  <w:footnote w:id="23">
    <w:p w14:paraId="65C006C3"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5.1</w:t>
      </w:r>
    </w:p>
  </w:footnote>
  <w:footnote w:id="24">
    <w:p w14:paraId="12D04507" w14:textId="77777777" w:rsidR="00243E5B" w:rsidRPr="00425F13" w:rsidRDefault="00000000">
      <w:pPr>
        <w:spacing w:line="240" w:lineRule="auto"/>
        <w:rPr>
          <w:rFonts w:ascii="Cambria" w:eastAsia="Cambria" w:hAnsi="Cambria" w:cs="Cambria"/>
          <w:sz w:val="20"/>
          <w:szCs w:val="20"/>
          <w:lang w:val="es-AR"/>
        </w:rPr>
      </w:pPr>
      <w:r>
        <w:rPr>
          <w:vertAlign w:val="superscript"/>
        </w:rPr>
        <w:footnoteRef/>
      </w:r>
      <w:r w:rsidRPr="00425F13">
        <w:rPr>
          <w:sz w:val="20"/>
          <w:szCs w:val="20"/>
          <w:lang w:val="es-AR"/>
        </w:rPr>
        <w:t xml:space="preserve"> </w:t>
      </w:r>
      <w:r w:rsidRPr="00425F13">
        <w:rPr>
          <w:rFonts w:ascii="Cambria" w:eastAsia="Cambria" w:hAnsi="Cambria" w:cs="Cambria"/>
          <w:sz w:val="20"/>
          <w:szCs w:val="20"/>
          <w:lang w:val="es-AR"/>
        </w:rPr>
        <w:t>Ibid.</w:t>
      </w:r>
    </w:p>
  </w:footnote>
  <w:footnote w:id="25">
    <w:p w14:paraId="5AF4DD61"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5.2</w:t>
      </w:r>
    </w:p>
  </w:footnote>
  <w:footnote w:id="26">
    <w:p w14:paraId="7EDDC925"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Hypothetical Par. 5.3</w:t>
      </w:r>
    </w:p>
  </w:footnote>
  <w:footnote w:id="27">
    <w:p w14:paraId="1D7A9AC3"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Hypothetical Par. 6.1</w:t>
      </w:r>
    </w:p>
  </w:footnote>
  <w:footnote w:id="28">
    <w:p w14:paraId="038FEA4F" w14:textId="77777777" w:rsidR="00243E5B"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American Convention on Human Rights Article 1</w:t>
      </w:r>
    </w:p>
  </w:footnote>
  <w:footnote w:id="29">
    <w:p w14:paraId="431C8668" w14:textId="77777777" w:rsidR="00243E5B"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American Convention on Human Rights Article 12.2</w:t>
      </w:r>
    </w:p>
  </w:footnote>
  <w:footnote w:id="30">
    <w:p w14:paraId="385D15FA"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Hypothetical Par. 2.3</w:t>
      </w:r>
    </w:p>
  </w:footnote>
  <w:footnote w:id="31">
    <w:p w14:paraId="6620FB9F"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Hypothetical Par. 4.3</w:t>
      </w:r>
    </w:p>
  </w:footnote>
  <w:footnote w:id="32">
    <w:p w14:paraId="1A6200DE"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Clarification Question 1</w:t>
      </w:r>
    </w:p>
  </w:footnote>
  <w:footnote w:id="33">
    <w:p w14:paraId="3CC81306"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Clarification Question</w:t>
      </w:r>
    </w:p>
  </w:footnote>
  <w:footnote w:id="34">
    <w:p w14:paraId="628EA6DE"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Hypothetical Par. 3.2</w:t>
      </w:r>
    </w:p>
  </w:footnote>
  <w:footnote w:id="35">
    <w:p w14:paraId="15A47CC0"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Clarification Question 5</w:t>
      </w:r>
    </w:p>
  </w:footnote>
  <w:footnote w:id="36">
    <w:p w14:paraId="62528D04" w14:textId="77777777" w:rsidR="00243E5B"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American Declaration of the Rights and Duties of Man Article 3</w:t>
      </w:r>
    </w:p>
  </w:footnote>
  <w:footnote w:id="37">
    <w:p w14:paraId="13F8C64C"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2.4</w:t>
      </w:r>
    </w:p>
  </w:footnote>
  <w:footnote w:id="38">
    <w:p w14:paraId="49DBFE0B"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2.3</w:t>
      </w:r>
    </w:p>
  </w:footnote>
  <w:footnote w:id="39">
    <w:p w14:paraId="17ADBAD3" w14:textId="77777777" w:rsidR="00243E5B" w:rsidRPr="00425F13" w:rsidRDefault="00000000">
      <w:pPr>
        <w:spacing w:line="240" w:lineRule="auto"/>
        <w:rPr>
          <w:sz w:val="20"/>
          <w:szCs w:val="20"/>
          <w:lang w:val="es-AR"/>
        </w:rPr>
      </w:pPr>
      <w:r>
        <w:rPr>
          <w:vertAlign w:val="superscript"/>
        </w:rPr>
        <w:footnoteRef/>
      </w:r>
      <w:r w:rsidRPr="00425F13">
        <w:rPr>
          <w:sz w:val="20"/>
          <w:szCs w:val="20"/>
          <w:lang w:val="es-AR"/>
        </w:rPr>
        <w:t xml:space="preserve"> </w:t>
      </w:r>
      <w:proofErr w:type="spellStart"/>
      <w:r w:rsidRPr="00425F13">
        <w:rPr>
          <w:rFonts w:ascii="Cambria" w:eastAsia="Cambria" w:hAnsi="Cambria" w:cs="Cambria"/>
          <w:sz w:val="20"/>
          <w:szCs w:val="20"/>
          <w:lang w:val="es-AR"/>
        </w:rPr>
        <w:t>Hypothetical</w:t>
      </w:r>
      <w:proofErr w:type="spellEnd"/>
      <w:r w:rsidRPr="00425F13">
        <w:rPr>
          <w:rFonts w:ascii="Cambria" w:eastAsia="Cambria" w:hAnsi="Cambria" w:cs="Cambria"/>
          <w:sz w:val="20"/>
          <w:szCs w:val="20"/>
          <w:lang w:val="es-AR"/>
        </w:rPr>
        <w:t xml:space="preserve"> Par. 2.3</w:t>
      </w:r>
    </w:p>
  </w:footnote>
  <w:footnote w:id="40">
    <w:p w14:paraId="7EE4E76C" w14:textId="77777777" w:rsidR="00243E5B" w:rsidRDefault="00000000">
      <w:pPr>
        <w:spacing w:line="240" w:lineRule="auto"/>
        <w:rPr>
          <w:i/>
          <w:sz w:val="20"/>
          <w:szCs w:val="20"/>
        </w:rPr>
      </w:pPr>
      <w:r>
        <w:rPr>
          <w:vertAlign w:val="superscript"/>
        </w:rPr>
        <w:footnoteRef/>
      </w:r>
      <w:r>
        <w:rPr>
          <w:sz w:val="20"/>
          <w:szCs w:val="20"/>
        </w:rPr>
        <w:t xml:space="preserve"> </w:t>
      </w:r>
      <w:proofErr w:type="spellStart"/>
      <w:r>
        <w:rPr>
          <w:rFonts w:ascii="Times New Roman" w:eastAsia="Times New Roman" w:hAnsi="Times New Roman" w:cs="Times New Roman"/>
          <w:i/>
          <w:sz w:val="20"/>
          <w:szCs w:val="20"/>
        </w:rPr>
        <w:t>Garífuna</w:t>
      </w:r>
      <w:proofErr w:type="spellEnd"/>
      <w:r>
        <w:rPr>
          <w:rFonts w:ascii="Times New Roman" w:eastAsia="Times New Roman" w:hAnsi="Times New Roman" w:cs="Times New Roman"/>
          <w:i/>
          <w:sz w:val="20"/>
          <w:szCs w:val="20"/>
        </w:rPr>
        <w:t xml:space="preserve"> Punta Piedra Community and its Members v. Honduras</w:t>
      </w:r>
    </w:p>
  </w:footnote>
  <w:footnote w:id="41">
    <w:p w14:paraId="2E8F11F9" w14:textId="77777777" w:rsidR="00243E5B" w:rsidRDefault="00000000">
      <w:pPr>
        <w:spacing w:line="240" w:lineRule="auto"/>
        <w:rPr>
          <w:sz w:val="20"/>
          <w:szCs w:val="20"/>
        </w:rPr>
      </w:pPr>
      <w:r>
        <w:rPr>
          <w:vertAlign w:val="superscript"/>
        </w:rPr>
        <w:footnoteRef/>
      </w:r>
      <w:r>
        <w:rPr>
          <w:sz w:val="20"/>
          <w:szCs w:val="20"/>
        </w:rPr>
        <w:t xml:space="preserve"> </w:t>
      </w:r>
      <w:proofErr w:type="spellStart"/>
      <w:r>
        <w:rPr>
          <w:rFonts w:ascii="Times New Roman" w:eastAsia="Times New Roman" w:hAnsi="Times New Roman" w:cs="Times New Roman"/>
          <w:i/>
          <w:sz w:val="20"/>
          <w:szCs w:val="20"/>
        </w:rPr>
        <w:t>Garífuna</w:t>
      </w:r>
      <w:proofErr w:type="spellEnd"/>
      <w:r>
        <w:rPr>
          <w:rFonts w:ascii="Times New Roman" w:eastAsia="Times New Roman" w:hAnsi="Times New Roman" w:cs="Times New Roman"/>
          <w:i/>
          <w:sz w:val="20"/>
          <w:szCs w:val="20"/>
        </w:rPr>
        <w:t xml:space="preserve"> Punta Piedra Community and its Members v. Honduras</w:t>
      </w:r>
    </w:p>
  </w:footnote>
  <w:footnote w:id="42">
    <w:p w14:paraId="7B605D09" w14:textId="5FD6297A" w:rsidR="00CD5A3A" w:rsidRPr="00CD5A3A" w:rsidRDefault="00CD5A3A">
      <w:pPr>
        <w:pStyle w:val="FootnoteText"/>
        <w:rPr>
          <w:rFonts w:ascii="Times New Roman" w:hAnsi="Times New Roman" w:cs="Times New Roman"/>
          <w:lang w:val="en-US"/>
        </w:rPr>
      </w:pPr>
      <w:r>
        <w:rPr>
          <w:rStyle w:val="FootnoteReference"/>
        </w:rPr>
        <w:footnoteRef/>
      </w:r>
      <w:r>
        <w:t xml:space="preserve"> </w:t>
      </w:r>
      <w:r w:rsidRPr="00CD5A3A">
        <w:rPr>
          <w:rFonts w:ascii="Times New Roman" w:hAnsi="Times New Roman" w:cs="Times New Roman"/>
        </w:rPr>
        <w:t>Clarification Question 15.</w:t>
      </w:r>
    </w:p>
  </w:footnote>
  <w:footnote w:id="43">
    <w:p w14:paraId="41B13B20" w14:textId="77777777" w:rsidR="00243E5B" w:rsidRDefault="00000000">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Question 7</w:t>
      </w:r>
    </w:p>
  </w:footnote>
  <w:footnote w:id="44">
    <w:p w14:paraId="473600E8" w14:textId="77777777" w:rsidR="00243E5B"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American Declaration on the Rights of Indigenous Peoples Article 23.1</w:t>
      </w:r>
    </w:p>
  </w:footnote>
  <w:footnote w:id="45">
    <w:p w14:paraId="7DCDACA7"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Hypothetical Par. 2.4</w:t>
      </w:r>
    </w:p>
  </w:footnote>
  <w:footnote w:id="46">
    <w:p w14:paraId="566583D8" w14:textId="77777777" w:rsidR="00243E5B" w:rsidRDefault="00000000">
      <w:pPr>
        <w:spacing w:line="240" w:lineRule="auto"/>
        <w:rPr>
          <w:rFonts w:ascii="Cambria" w:eastAsia="Cambria" w:hAnsi="Cambria" w:cs="Cambria"/>
          <w:sz w:val="20"/>
          <w:szCs w:val="20"/>
        </w:rPr>
      </w:pPr>
      <w:r>
        <w:rPr>
          <w:vertAlign w:val="superscript"/>
        </w:rPr>
        <w:footnoteRef/>
      </w:r>
      <w:r>
        <w:rPr>
          <w:rFonts w:ascii="Cambria" w:eastAsia="Cambria" w:hAnsi="Cambria" w:cs="Cambria"/>
          <w:sz w:val="20"/>
          <w:szCs w:val="20"/>
        </w:rPr>
        <w:t xml:space="preserve"> Ibid.</w:t>
      </w:r>
    </w:p>
  </w:footnote>
  <w:footnote w:id="47">
    <w:p w14:paraId="0F7FD501" w14:textId="77777777" w:rsidR="00243E5B"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Question 7</w:t>
      </w:r>
    </w:p>
  </w:footnote>
  <w:footnote w:id="48">
    <w:p w14:paraId="361B518B" w14:textId="77777777" w:rsidR="00243E5B"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Question 12</w:t>
      </w:r>
    </w:p>
  </w:footnote>
  <w:footnote w:id="49">
    <w:p w14:paraId="51141497" w14:textId="77777777" w:rsidR="00243E5B" w:rsidRDefault="00000000">
      <w:pPr>
        <w:spacing w:line="240" w:lineRule="auto"/>
        <w:rPr>
          <w:sz w:val="20"/>
          <w:szCs w:val="20"/>
        </w:rPr>
      </w:pPr>
      <w:r>
        <w:rPr>
          <w:vertAlign w:val="superscript"/>
        </w:rPr>
        <w:footnoteRef/>
      </w:r>
      <w:r>
        <w:rPr>
          <w:sz w:val="20"/>
          <w:szCs w:val="20"/>
        </w:rPr>
        <w:t xml:space="preserve"> </w:t>
      </w:r>
      <w:r>
        <w:rPr>
          <w:rFonts w:ascii="Cambria" w:eastAsia="Cambria" w:hAnsi="Cambria" w:cs="Cambria"/>
          <w:sz w:val="20"/>
          <w:szCs w:val="20"/>
        </w:rPr>
        <w:t>Hypothetical Par. 4.4</w:t>
      </w:r>
    </w:p>
  </w:footnote>
  <w:footnote w:id="50">
    <w:p w14:paraId="0A66CF8F" w14:textId="77777777" w:rsidR="00243E5B" w:rsidRDefault="00000000">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Clarification Question 7,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39727" w14:textId="77777777" w:rsidR="00243E5B"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Joyce &amp; Jordan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1FFF"/>
    <w:multiLevelType w:val="multilevel"/>
    <w:tmpl w:val="849A7F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01067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E5B"/>
    <w:rsid w:val="000376F6"/>
    <w:rsid w:val="000578CD"/>
    <w:rsid w:val="001A5916"/>
    <w:rsid w:val="0021413F"/>
    <w:rsid w:val="00243E5B"/>
    <w:rsid w:val="00425F13"/>
    <w:rsid w:val="004D17A2"/>
    <w:rsid w:val="00672D43"/>
    <w:rsid w:val="007E2834"/>
    <w:rsid w:val="00CD5A3A"/>
    <w:rsid w:val="00ED4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282B3"/>
  <w15:docId w15:val="{6BDC414B-A727-4C57-8147-1C657039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EndnoteText">
    <w:name w:val="endnote text"/>
    <w:basedOn w:val="Normal"/>
    <w:link w:val="EndnoteTextChar"/>
    <w:uiPriority w:val="99"/>
    <w:semiHidden/>
    <w:unhideWhenUsed/>
    <w:rsid w:val="00CD5A3A"/>
    <w:pPr>
      <w:spacing w:line="240" w:lineRule="auto"/>
    </w:pPr>
    <w:rPr>
      <w:sz w:val="20"/>
      <w:szCs w:val="20"/>
    </w:rPr>
  </w:style>
  <w:style w:type="character" w:customStyle="1" w:styleId="EndnoteTextChar">
    <w:name w:val="Endnote Text Char"/>
    <w:basedOn w:val="DefaultParagraphFont"/>
    <w:link w:val="EndnoteText"/>
    <w:uiPriority w:val="99"/>
    <w:semiHidden/>
    <w:rsid w:val="00CD5A3A"/>
    <w:rPr>
      <w:sz w:val="20"/>
      <w:szCs w:val="20"/>
    </w:rPr>
  </w:style>
  <w:style w:type="character" w:styleId="EndnoteReference">
    <w:name w:val="endnote reference"/>
    <w:basedOn w:val="DefaultParagraphFont"/>
    <w:uiPriority w:val="99"/>
    <w:semiHidden/>
    <w:unhideWhenUsed/>
    <w:rsid w:val="00CD5A3A"/>
    <w:rPr>
      <w:vertAlign w:val="superscript"/>
    </w:rPr>
  </w:style>
  <w:style w:type="paragraph" w:styleId="FootnoteText">
    <w:name w:val="footnote text"/>
    <w:basedOn w:val="Normal"/>
    <w:link w:val="FootnoteTextChar"/>
    <w:uiPriority w:val="99"/>
    <w:semiHidden/>
    <w:unhideWhenUsed/>
    <w:rsid w:val="00CD5A3A"/>
    <w:pPr>
      <w:spacing w:line="240" w:lineRule="auto"/>
    </w:pPr>
    <w:rPr>
      <w:sz w:val="20"/>
      <w:szCs w:val="20"/>
    </w:rPr>
  </w:style>
  <w:style w:type="character" w:customStyle="1" w:styleId="FootnoteTextChar">
    <w:name w:val="Footnote Text Char"/>
    <w:basedOn w:val="DefaultParagraphFont"/>
    <w:link w:val="FootnoteText"/>
    <w:uiPriority w:val="99"/>
    <w:semiHidden/>
    <w:rsid w:val="00CD5A3A"/>
    <w:rPr>
      <w:sz w:val="20"/>
      <w:szCs w:val="20"/>
    </w:rPr>
  </w:style>
  <w:style w:type="character" w:styleId="FootnoteReference">
    <w:name w:val="footnote reference"/>
    <w:basedOn w:val="DefaultParagraphFont"/>
    <w:uiPriority w:val="99"/>
    <w:semiHidden/>
    <w:unhideWhenUsed/>
    <w:rsid w:val="00CD5A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79ED748-0D89-406F-87CE-3506FC2F6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3201</Words>
  <Characters>18248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Supplee, Joan</dc:creator>
  <cp:lastModifiedBy>Supplee, Joan</cp:lastModifiedBy>
  <cp:revision>2</cp:revision>
  <dcterms:created xsi:type="dcterms:W3CDTF">2023-04-02T04:47:00Z</dcterms:created>
  <dcterms:modified xsi:type="dcterms:W3CDTF">2023-04-02T04:47:00Z</dcterms:modified>
</cp:coreProperties>
</file>