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20FF3" w14:textId="77777777" w:rsidR="00C139D0" w:rsidRPr="00F33937" w:rsidRDefault="00C139D0" w:rsidP="00C139D0">
      <w:pPr>
        <w:jc w:val="right"/>
        <w:rPr>
          <w:rFonts w:ascii="Times New Roman" w:hAnsi="Times New Roman" w:cs="Times New Roman"/>
        </w:rPr>
      </w:pPr>
      <w:bookmarkStart w:id="0" w:name="_GoBack"/>
      <w:bookmarkEnd w:id="0"/>
    </w:p>
    <w:p w14:paraId="01BAD58B" w14:textId="77777777" w:rsidR="00C139D0" w:rsidRPr="00F33937" w:rsidRDefault="00C139D0" w:rsidP="00C139D0">
      <w:pPr>
        <w:spacing w:line="480" w:lineRule="auto"/>
        <w:jc w:val="center"/>
        <w:rPr>
          <w:rFonts w:ascii="Times New Roman" w:hAnsi="Times New Roman" w:cs="Times New Roman"/>
          <w:b/>
          <w:sz w:val="24"/>
          <w:szCs w:val="24"/>
        </w:rPr>
      </w:pPr>
      <w:r w:rsidRPr="00F33937">
        <w:rPr>
          <w:rFonts w:ascii="Times New Roman" w:hAnsi="Times New Roman" w:cs="Times New Roman"/>
          <w:b/>
          <w:sz w:val="24"/>
          <w:szCs w:val="24"/>
        </w:rPr>
        <w:t xml:space="preserve">INTER-AMERICAN HUMAN RIGHTS </w:t>
      </w:r>
    </w:p>
    <w:p w14:paraId="779ED710" w14:textId="77777777" w:rsidR="00C139D0" w:rsidRPr="00F33937" w:rsidRDefault="00C139D0" w:rsidP="00C139D0">
      <w:pPr>
        <w:spacing w:line="480" w:lineRule="auto"/>
        <w:jc w:val="center"/>
        <w:rPr>
          <w:rFonts w:ascii="Times New Roman" w:hAnsi="Times New Roman" w:cs="Times New Roman"/>
          <w:b/>
          <w:sz w:val="24"/>
          <w:szCs w:val="24"/>
        </w:rPr>
      </w:pPr>
      <w:r w:rsidRPr="00F33937">
        <w:rPr>
          <w:rFonts w:ascii="Times New Roman" w:hAnsi="Times New Roman" w:cs="Times New Roman"/>
          <w:b/>
          <w:sz w:val="24"/>
          <w:szCs w:val="24"/>
        </w:rPr>
        <w:t xml:space="preserve">MOOT COURT COMPETITION </w:t>
      </w:r>
    </w:p>
    <w:p w14:paraId="23AD690B" w14:textId="77777777" w:rsidR="00C139D0" w:rsidRPr="00F33937" w:rsidRDefault="00C139D0" w:rsidP="00C139D0">
      <w:pPr>
        <w:spacing w:line="480" w:lineRule="auto"/>
        <w:jc w:val="center"/>
        <w:rPr>
          <w:rFonts w:ascii="Times New Roman" w:hAnsi="Times New Roman" w:cs="Times New Roman"/>
          <w:b/>
          <w:sz w:val="24"/>
          <w:szCs w:val="24"/>
        </w:rPr>
      </w:pPr>
    </w:p>
    <w:p w14:paraId="4EA38883" w14:textId="77777777" w:rsidR="00C139D0" w:rsidRPr="00F33937" w:rsidRDefault="00C139D0" w:rsidP="00C139D0">
      <w:pPr>
        <w:spacing w:line="480" w:lineRule="auto"/>
        <w:jc w:val="center"/>
        <w:rPr>
          <w:rFonts w:ascii="Times New Roman" w:hAnsi="Times New Roman" w:cs="Times New Roman"/>
          <w:b/>
          <w:sz w:val="24"/>
          <w:szCs w:val="24"/>
        </w:rPr>
      </w:pPr>
    </w:p>
    <w:p w14:paraId="72B8E84C" w14:textId="662E4BD2" w:rsidR="00C139D0" w:rsidRPr="00F33937" w:rsidRDefault="00C139D0" w:rsidP="00C139D0">
      <w:pPr>
        <w:spacing w:line="480" w:lineRule="auto"/>
        <w:jc w:val="center"/>
        <w:rPr>
          <w:rFonts w:ascii="Times New Roman" w:hAnsi="Times New Roman" w:cs="Times New Roman"/>
          <w:b/>
          <w:sz w:val="24"/>
          <w:szCs w:val="24"/>
        </w:rPr>
      </w:pPr>
      <w:r w:rsidRPr="00F33937">
        <w:rPr>
          <w:rFonts w:ascii="Times New Roman" w:hAnsi="Times New Roman" w:cs="Times New Roman"/>
          <w:b/>
          <w:sz w:val="24"/>
          <w:szCs w:val="24"/>
        </w:rPr>
        <w:t xml:space="preserve">THE </w:t>
      </w:r>
      <w:r w:rsidR="00647883" w:rsidRPr="00F33937">
        <w:rPr>
          <w:rFonts w:ascii="Times New Roman" w:hAnsi="Times New Roman" w:cs="Times New Roman"/>
          <w:b/>
          <w:sz w:val="24"/>
          <w:szCs w:val="24"/>
        </w:rPr>
        <w:t>GUAJILLO, ANCHO &amp; POBLANO FAMILIES</w:t>
      </w:r>
    </w:p>
    <w:p w14:paraId="3AB49C3A" w14:textId="22C0A1F6" w:rsidR="00C139D0" w:rsidRPr="00F33937" w:rsidRDefault="00315FA0" w:rsidP="00C139D0">
      <w:pPr>
        <w:spacing w:line="480" w:lineRule="auto"/>
        <w:jc w:val="center"/>
        <w:rPr>
          <w:rFonts w:ascii="Times New Roman" w:hAnsi="Times New Roman" w:cs="Times New Roman"/>
          <w:b/>
          <w:sz w:val="24"/>
          <w:szCs w:val="24"/>
        </w:rPr>
      </w:pPr>
      <w:r w:rsidRPr="00F33937">
        <w:rPr>
          <w:rFonts w:ascii="Times New Roman" w:hAnsi="Times New Roman" w:cs="Times New Roman"/>
          <w:sz w:val="24"/>
          <w:szCs w:val="24"/>
        </w:rPr>
        <w:t>(Victims</w:t>
      </w:r>
      <w:r w:rsidR="00C139D0" w:rsidRPr="00F33937">
        <w:rPr>
          <w:rFonts w:ascii="Times New Roman" w:hAnsi="Times New Roman" w:cs="Times New Roman"/>
          <w:sz w:val="24"/>
          <w:szCs w:val="24"/>
        </w:rPr>
        <w:t xml:space="preserve">) </w:t>
      </w:r>
    </w:p>
    <w:p w14:paraId="3DDA3736" w14:textId="77777777" w:rsidR="00C139D0" w:rsidRPr="00F33937" w:rsidRDefault="00C139D0" w:rsidP="00C139D0">
      <w:pPr>
        <w:spacing w:line="480" w:lineRule="auto"/>
        <w:jc w:val="center"/>
        <w:rPr>
          <w:rFonts w:ascii="Times New Roman" w:hAnsi="Times New Roman" w:cs="Times New Roman"/>
          <w:sz w:val="24"/>
          <w:szCs w:val="24"/>
        </w:rPr>
      </w:pPr>
      <w:r w:rsidRPr="00F33937">
        <w:rPr>
          <w:rFonts w:ascii="Times New Roman" w:hAnsi="Times New Roman" w:cs="Times New Roman"/>
          <w:sz w:val="24"/>
          <w:szCs w:val="24"/>
        </w:rPr>
        <w:t>V</w:t>
      </w:r>
    </w:p>
    <w:p w14:paraId="7784D9CC" w14:textId="6F8D3CED" w:rsidR="00C139D0" w:rsidRPr="00F33937" w:rsidRDefault="00C139D0" w:rsidP="00C139D0">
      <w:pPr>
        <w:spacing w:line="480" w:lineRule="auto"/>
        <w:jc w:val="center"/>
        <w:rPr>
          <w:rFonts w:ascii="Times New Roman" w:hAnsi="Times New Roman" w:cs="Times New Roman"/>
          <w:b/>
          <w:sz w:val="24"/>
          <w:szCs w:val="24"/>
        </w:rPr>
      </w:pPr>
      <w:r w:rsidRPr="00F33937">
        <w:rPr>
          <w:rFonts w:ascii="Times New Roman" w:hAnsi="Times New Roman" w:cs="Times New Roman"/>
          <w:b/>
          <w:sz w:val="24"/>
          <w:szCs w:val="24"/>
        </w:rPr>
        <w:t xml:space="preserve">THE REPUBLIC OF </w:t>
      </w:r>
      <w:r w:rsidR="00647883" w:rsidRPr="00F33937">
        <w:rPr>
          <w:rFonts w:ascii="Times New Roman" w:hAnsi="Times New Roman" w:cs="Times New Roman"/>
          <w:b/>
          <w:sz w:val="24"/>
          <w:szCs w:val="24"/>
        </w:rPr>
        <w:t>CHARECHIA</w:t>
      </w:r>
    </w:p>
    <w:p w14:paraId="3EA45661" w14:textId="77777777" w:rsidR="00C139D0" w:rsidRPr="00F33937" w:rsidRDefault="00C139D0" w:rsidP="00C139D0">
      <w:pPr>
        <w:spacing w:line="480" w:lineRule="auto"/>
        <w:jc w:val="center"/>
        <w:rPr>
          <w:rFonts w:ascii="Times New Roman" w:hAnsi="Times New Roman" w:cs="Times New Roman"/>
          <w:sz w:val="24"/>
          <w:szCs w:val="24"/>
        </w:rPr>
      </w:pPr>
      <w:r w:rsidRPr="00F33937">
        <w:rPr>
          <w:rFonts w:ascii="Times New Roman" w:hAnsi="Times New Roman" w:cs="Times New Roman"/>
          <w:sz w:val="24"/>
          <w:szCs w:val="24"/>
        </w:rPr>
        <w:t>(Respondent)</w:t>
      </w:r>
    </w:p>
    <w:p w14:paraId="4192970A" w14:textId="77777777" w:rsidR="00C139D0" w:rsidRPr="00F33937" w:rsidRDefault="00C139D0" w:rsidP="00C139D0">
      <w:pPr>
        <w:jc w:val="center"/>
        <w:rPr>
          <w:rFonts w:ascii="Times New Roman" w:hAnsi="Times New Roman" w:cs="Times New Roman"/>
          <w:b/>
          <w:sz w:val="24"/>
          <w:szCs w:val="24"/>
        </w:rPr>
      </w:pPr>
    </w:p>
    <w:p w14:paraId="3C2820BB" w14:textId="77777777" w:rsidR="00C139D0" w:rsidRPr="00F33937" w:rsidRDefault="00C139D0" w:rsidP="00C139D0">
      <w:pPr>
        <w:jc w:val="center"/>
        <w:rPr>
          <w:rFonts w:ascii="Times New Roman" w:hAnsi="Times New Roman" w:cs="Times New Roman"/>
          <w:b/>
          <w:sz w:val="24"/>
          <w:szCs w:val="24"/>
        </w:rPr>
      </w:pPr>
    </w:p>
    <w:p w14:paraId="6A7C7ECC" w14:textId="77777777" w:rsidR="00C139D0" w:rsidRPr="00F33937" w:rsidRDefault="00C139D0" w:rsidP="00C139D0">
      <w:pPr>
        <w:jc w:val="center"/>
        <w:rPr>
          <w:rFonts w:ascii="Times New Roman" w:hAnsi="Times New Roman" w:cs="Times New Roman"/>
          <w:b/>
          <w:sz w:val="24"/>
          <w:szCs w:val="24"/>
        </w:rPr>
      </w:pPr>
    </w:p>
    <w:p w14:paraId="45194248" w14:textId="77777777" w:rsidR="00C139D0" w:rsidRPr="00F33937" w:rsidRDefault="00C139D0" w:rsidP="00C139D0">
      <w:pPr>
        <w:jc w:val="center"/>
        <w:rPr>
          <w:rFonts w:ascii="Times New Roman" w:hAnsi="Times New Roman" w:cs="Times New Roman"/>
          <w:b/>
          <w:sz w:val="24"/>
          <w:szCs w:val="24"/>
        </w:rPr>
      </w:pPr>
    </w:p>
    <w:p w14:paraId="7FA2266B" w14:textId="77777777" w:rsidR="00004298" w:rsidRPr="00F33937" w:rsidRDefault="00004298" w:rsidP="00C139D0">
      <w:pPr>
        <w:jc w:val="center"/>
        <w:rPr>
          <w:rFonts w:ascii="Times New Roman" w:hAnsi="Times New Roman" w:cs="Times New Roman"/>
          <w:sz w:val="24"/>
          <w:szCs w:val="24"/>
        </w:rPr>
      </w:pPr>
    </w:p>
    <w:p w14:paraId="1BC057D5" w14:textId="4E9D2A6D" w:rsidR="00C139D0" w:rsidRPr="00F33937" w:rsidRDefault="00647883" w:rsidP="00C139D0">
      <w:pPr>
        <w:jc w:val="center"/>
        <w:rPr>
          <w:rFonts w:ascii="Times New Roman" w:hAnsi="Times New Roman" w:cs="Times New Roman"/>
          <w:sz w:val="24"/>
          <w:szCs w:val="24"/>
        </w:rPr>
      </w:pPr>
      <w:r w:rsidRPr="00F33937">
        <w:rPr>
          <w:rFonts w:ascii="Times New Roman" w:hAnsi="Times New Roman" w:cs="Times New Roman"/>
          <w:sz w:val="24"/>
          <w:szCs w:val="24"/>
        </w:rPr>
        <w:t>MEMORIAL FOR THE VICTIMS</w:t>
      </w:r>
      <w:r w:rsidR="00C139D0" w:rsidRPr="00F33937">
        <w:rPr>
          <w:rFonts w:ascii="Times New Roman" w:hAnsi="Times New Roman" w:cs="Times New Roman"/>
          <w:sz w:val="24"/>
          <w:szCs w:val="24"/>
        </w:rPr>
        <w:t xml:space="preserve"> </w:t>
      </w:r>
    </w:p>
    <w:p w14:paraId="3CF659A0" w14:textId="77777777" w:rsidR="00C139D0" w:rsidRPr="00F33937" w:rsidRDefault="00C139D0" w:rsidP="00C139D0">
      <w:pPr>
        <w:jc w:val="center"/>
        <w:rPr>
          <w:rFonts w:ascii="Times New Roman" w:hAnsi="Times New Roman" w:cs="Times New Roman"/>
          <w:sz w:val="24"/>
          <w:szCs w:val="24"/>
        </w:rPr>
      </w:pPr>
    </w:p>
    <w:p w14:paraId="51D92165" w14:textId="77777777" w:rsidR="00C139D0" w:rsidRPr="00F33937" w:rsidRDefault="00C139D0" w:rsidP="00C139D0">
      <w:pPr>
        <w:jc w:val="center"/>
        <w:rPr>
          <w:rFonts w:ascii="Times New Roman" w:hAnsi="Times New Roman" w:cs="Times New Roman"/>
          <w:sz w:val="24"/>
          <w:szCs w:val="24"/>
        </w:rPr>
      </w:pPr>
    </w:p>
    <w:p w14:paraId="15E04DC1" w14:textId="77777777" w:rsidR="0005552F" w:rsidRPr="00F33937" w:rsidRDefault="0005552F" w:rsidP="0061722F">
      <w:pPr>
        <w:spacing w:after="0" w:line="480" w:lineRule="auto"/>
        <w:contextualSpacing/>
        <w:rPr>
          <w:rFonts w:ascii="Times New Roman" w:hAnsi="Times New Roman" w:cs="Times New Roman"/>
          <w:sz w:val="24"/>
          <w:szCs w:val="24"/>
          <w:u w:val="single"/>
        </w:rPr>
      </w:pPr>
    </w:p>
    <w:p w14:paraId="0AA8CB17" w14:textId="77777777" w:rsidR="00004298" w:rsidRPr="00F33937" w:rsidRDefault="00004298" w:rsidP="0061722F">
      <w:pPr>
        <w:spacing w:after="0" w:line="480" w:lineRule="auto"/>
        <w:contextualSpacing/>
        <w:rPr>
          <w:rFonts w:ascii="Times New Roman" w:hAnsi="Times New Roman" w:cs="Times New Roman"/>
          <w:sz w:val="24"/>
          <w:szCs w:val="24"/>
          <w:u w:val="single"/>
        </w:rPr>
      </w:pPr>
    </w:p>
    <w:p w14:paraId="0883DA58" w14:textId="77777777" w:rsidR="00004298" w:rsidRPr="00F33937" w:rsidRDefault="00004298" w:rsidP="0061722F">
      <w:pPr>
        <w:spacing w:after="0" w:line="480" w:lineRule="auto"/>
        <w:contextualSpacing/>
        <w:rPr>
          <w:rFonts w:ascii="Times New Roman" w:hAnsi="Times New Roman" w:cs="Times New Roman"/>
          <w:sz w:val="24"/>
          <w:szCs w:val="24"/>
          <w:u w:val="single"/>
        </w:rPr>
      </w:pPr>
    </w:p>
    <w:p w14:paraId="4E154ADA" w14:textId="44A361C6" w:rsidR="00407895" w:rsidRPr="00F33937" w:rsidRDefault="00407895" w:rsidP="0061722F">
      <w:pPr>
        <w:spacing w:after="0" w:line="480" w:lineRule="auto"/>
        <w:contextualSpacing/>
        <w:rPr>
          <w:rFonts w:ascii="Times New Roman" w:hAnsi="Times New Roman" w:cs="Times New Roman"/>
          <w:sz w:val="24"/>
          <w:szCs w:val="24"/>
          <w:u w:val="single"/>
        </w:rPr>
      </w:pPr>
      <w:r w:rsidRPr="00F33937">
        <w:rPr>
          <w:rFonts w:ascii="Times New Roman" w:hAnsi="Times New Roman" w:cs="Times New Roman"/>
          <w:sz w:val="24"/>
          <w:szCs w:val="24"/>
          <w:u w:val="single"/>
        </w:rPr>
        <w:lastRenderedPageBreak/>
        <w:t>TABLE OF CONTENTS</w:t>
      </w:r>
    </w:p>
    <w:p w14:paraId="21E55BF2" w14:textId="055D2037" w:rsidR="000921BC" w:rsidRPr="00F33937" w:rsidRDefault="000921BC" w:rsidP="0061722F">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STATEMENT OF THE FACTS.....................................................................................</w:t>
      </w:r>
      <w:r w:rsidR="00814083" w:rsidRPr="00F33937">
        <w:rPr>
          <w:rFonts w:ascii="Times New Roman" w:hAnsi="Times New Roman" w:cs="Times New Roman"/>
          <w:sz w:val="24"/>
          <w:szCs w:val="24"/>
        </w:rPr>
        <w:t>...</w:t>
      </w:r>
      <w:r w:rsidR="00F518B8" w:rsidRPr="00F33937">
        <w:rPr>
          <w:rFonts w:ascii="Times New Roman" w:hAnsi="Times New Roman" w:cs="Times New Roman"/>
          <w:sz w:val="24"/>
          <w:szCs w:val="24"/>
        </w:rPr>
        <w:t>.............4</w:t>
      </w:r>
    </w:p>
    <w:p w14:paraId="1C05E020" w14:textId="63E7CB0E" w:rsidR="000921BC" w:rsidRPr="00F33937" w:rsidRDefault="000921BC" w:rsidP="0061722F">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Factual Background..............................................................................</w:t>
      </w:r>
      <w:r w:rsidR="00F518B8" w:rsidRPr="00F33937">
        <w:rPr>
          <w:rFonts w:ascii="Times New Roman" w:hAnsi="Times New Roman" w:cs="Times New Roman"/>
          <w:sz w:val="24"/>
          <w:szCs w:val="24"/>
        </w:rPr>
        <w:t>...............................4</w:t>
      </w:r>
    </w:p>
    <w:p w14:paraId="3CFFD7E8" w14:textId="7B7E8F2D" w:rsidR="0061722F" w:rsidRPr="00F33937" w:rsidRDefault="0061722F" w:rsidP="0061722F">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LEGAL ANALYSIS</w:t>
      </w:r>
    </w:p>
    <w:p w14:paraId="01B8694F" w14:textId="2D119B0E" w:rsidR="00407895" w:rsidRPr="00F33937" w:rsidRDefault="006A6152" w:rsidP="0061722F">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 xml:space="preserve">1 - </w:t>
      </w:r>
      <w:r w:rsidR="00407895" w:rsidRPr="00F33937">
        <w:rPr>
          <w:rFonts w:ascii="Times New Roman" w:hAnsi="Times New Roman" w:cs="Times New Roman"/>
          <w:sz w:val="24"/>
          <w:szCs w:val="24"/>
        </w:rPr>
        <w:t>ADMISSABILITY......................................................................................</w:t>
      </w:r>
      <w:r w:rsidR="00F344B4" w:rsidRPr="00F33937">
        <w:rPr>
          <w:rFonts w:ascii="Times New Roman" w:hAnsi="Times New Roman" w:cs="Times New Roman"/>
          <w:sz w:val="24"/>
          <w:szCs w:val="24"/>
        </w:rPr>
        <w:t>...............................6</w:t>
      </w:r>
    </w:p>
    <w:p w14:paraId="039E5DE7" w14:textId="7D8D0C10" w:rsidR="00407895" w:rsidRPr="00F33937" w:rsidRDefault="00835C55" w:rsidP="006A6152">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 xml:space="preserve">1.1 – STATEMENT </w:t>
      </w:r>
      <w:r w:rsidR="006A6152" w:rsidRPr="00F33937">
        <w:rPr>
          <w:rFonts w:ascii="Times New Roman" w:hAnsi="Times New Roman" w:cs="Times New Roman"/>
          <w:sz w:val="24"/>
          <w:szCs w:val="24"/>
        </w:rPr>
        <w:t>OF JURISDICTION</w:t>
      </w:r>
      <w:r w:rsidR="00407895" w:rsidRPr="00F33937">
        <w:rPr>
          <w:rFonts w:ascii="Times New Roman" w:hAnsi="Times New Roman" w:cs="Times New Roman"/>
          <w:sz w:val="24"/>
          <w:szCs w:val="24"/>
        </w:rPr>
        <w:t>..................</w:t>
      </w:r>
      <w:r w:rsidR="002E1E5C" w:rsidRPr="00F33937">
        <w:rPr>
          <w:rFonts w:ascii="Times New Roman" w:hAnsi="Times New Roman" w:cs="Times New Roman"/>
          <w:sz w:val="24"/>
          <w:szCs w:val="24"/>
        </w:rPr>
        <w:t>.......</w:t>
      </w:r>
      <w:r w:rsidRPr="00F33937">
        <w:rPr>
          <w:rFonts w:ascii="Times New Roman" w:hAnsi="Times New Roman" w:cs="Times New Roman"/>
          <w:sz w:val="24"/>
          <w:szCs w:val="24"/>
        </w:rPr>
        <w:t>................</w:t>
      </w:r>
      <w:r w:rsidR="00407895" w:rsidRPr="00F33937">
        <w:rPr>
          <w:rFonts w:ascii="Times New Roman" w:hAnsi="Times New Roman" w:cs="Times New Roman"/>
          <w:sz w:val="24"/>
          <w:szCs w:val="24"/>
        </w:rPr>
        <w:t>...</w:t>
      </w:r>
      <w:r w:rsidR="00F344B4" w:rsidRPr="00F33937">
        <w:rPr>
          <w:rFonts w:ascii="Times New Roman" w:hAnsi="Times New Roman" w:cs="Times New Roman"/>
          <w:sz w:val="24"/>
          <w:szCs w:val="24"/>
        </w:rPr>
        <w:t>...............................6</w:t>
      </w:r>
    </w:p>
    <w:p w14:paraId="05A6C46E" w14:textId="5E90E525" w:rsidR="00FF4404" w:rsidRPr="00F33937" w:rsidRDefault="00FF4404" w:rsidP="006A6152">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1.2 – Waiver of Right to Object by the Republic of Charechia.........................</w:t>
      </w:r>
      <w:r w:rsidR="003F1D6E" w:rsidRPr="00F33937">
        <w:rPr>
          <w:rFonts w:ascii="Times New Roman" w:hAnsi="Times New Roman" w:cs="Times New Roman"/>
          <w:sz w:val="24"/>
          <w:szCs w:val="24"/>
        </w:rPr>
        <w:t>..</w:t>
      </w:r>
      <w:r w:rsidR="00F518B8" w:rsidRPr="00F33937">
        <w:rPr>
          <w:rFonts w:ascii="Times New Roman" w:hAnsi="Times New Roman" w:cs="Times New Roman"/>
          <w:sz w:val="24"/>
          <w:szCs w:val="24"/>
        </w:rPr>
        <w:t>.............</w:t>
      </w:r>
      <w:r w:rsidRPr="00F33937">
        <w:rPr>
          <w:rFonts w:ascii="Times New Roman" w:hAnsi="Times New Roman" w:cs="Times New Roman"/>
          <w:sz w:val="24"/>
          <w:szCs w:val="24"/>
        </w:rPr>
        <w:t>...</w:t>
      </w:r>
      <w:r w:rsidR="00F518B8" w:rsidRPr="00F33937">
        <w:rPr>
          <w:rFonts w:ascii="Times New Roman" w:hAnsi="Times New Roman" w:cs="Times New Roman"/>
          <w:sz w:val="24"/>
          <w:szCs w:val="24"/>
        </w:rPr>
        <w:t>7</w:t>
      </w:r>
    </w:p>
    <w:p w14:paraId="2DAC1398" w14:textId="4765F363" w:rsidR="001457CD" w:rsidRPr="00F33937" w:rsidRDefault="001457CD" w:rsidP="006A6152">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1.3 – Exhaustion of Domestic Remedies.........................</w:t>
      </w:r>
      <w:r w:rsidR="003F1D6E" w:rsidRPr="00F33937">
        <w:rPr>
          <w:rFonts w:ascii="Times New Roman" w:hAnsi="Times New Roman" w:cs="Times New Roman"/>
          <w:sz w:val="24"/>
          <w:szCs w:val="24"/>
        </w:rPr>
        <w:t>....</w:t>
      </w:r>
      <w:r w:rsidR="00F518B8" w:rsidRPr="00F33937">
        <w:rPr>
          <w:rFonts w:ascii="Times New Roman" w:hAnsi="Times New Roman" w:cs="Times New Roman"/>
          <w:sz w:val="24"/>
          <w:szCs w:val="24"/>
        </w:rPr>
        <w:t>.............................</w:t>
      </w:r>
      <w:r w:rsidRPr="00F33937">
        <w:rPr>
          <w:rFonts w:ascii="Times New Roman" w:hAnsi="Times New Roman" w:cs="Times New Roman"/>
          <w:sz w:val="24"/>
          <w:szCs w:val="24"/>
        </w:rPr>
        <w:t>...................</w:t>
      </w:r>
      <w:r w:rsidR="00F518B8" w:rsidRPr="00F33937">
        <w:rPr>
          <w:rFonts w:ascii="Times New Roman" w:hAnsi="Times New Roman" w:cs="Times New Roman"/>
          <w:sz w:val="24"/>
          <w:szCs w:val="24"/>
        </w:rPr>
        <w:t>7</w:t>
      </w:r>
    </w:p>
    <w:p w14:paraId="4612DAD5" w14:textId="16E69F9C" w:rsidR="00EE5E04" w:rsidRPr="00F33937" w:rsidRDefault="00314E61" w:rsidP="002430AA">
      <w:pPr>
        <w:spacing w:line="480" w:lineRule="auto"/>
        <w:rPr>
          <w:rFonts w:ascii="Times New Roman" w:hAnsi="Times New Roman" w:cs="Times New Roman"/>
          <w:sz w:val="24"/>
          <w:szCs w:val="24"/>
        </w:rPr>
      </w:pPr>
      <w:r w:rsidRPr="00F33937">
        <w:rPr>
          <w:rFonts w:ascii="Times New Roman" w:hAnsi="Times New Roman" w:cs="Times New Roman"/>
          <w:sz w:val="24"/>
          <w:szCs w:val="24"/>
        </w:rPr>
        <w:t>2</w:t>
      </w:r>
      <w:r w:rsidR="00EE5E04" w:rsidRPr="00F33937">
        <w:rPr>
          <w:rFonts w:ascii="Times New Roman" w:hAnsi="Times New Roman" w:cs="Times New Roman"/>
          <w:sz w:val="24"/>
          <w:szCs w:val="24"/>
        </w:rPr>
        <w:t xml:space="preserve"> – VIOLATIONS: </w:t>
      </w:r>
      <w:r w:rsidR="00AF6C89" w:rsidRPr="00F33937">
        <w:rPr>
          <w:rFonts w:ascii="Times New Roman" w:hAnsi="Times New Roman" w:cs="Times New Roman"/>
          <w:sz w:val="24"/>
          <w:szCs w:val="24"/>
        </w:rPr>
        <w:t xml:space="preserve"> </w:t>
      </w:r>
      <w:r w:rsidR="00ED6722" w:rsidRPr="00F33937">
        <w:rPr>
          <w:rFonts w:ascii="Times New Roman" w:hAnsi="Times New Roman" w:cs="Times New Roman"/>
          <w:sz w:val="24"/>
          <w:szCs w:val="24"/>
        </w:rPr>
        <w:t xml:space="preserve">THE </w:t>
      </w:r>
      <w:r w:rsidR="00EE5E04" w:rsidRPr="00F33937">
        <w:rPr>
          <w:rFonts w:ascii="Times New Roman" w:hAnsi="Times New Roman" w:cs="Times New Roman"/>
          <w:sz w:val="24"/>
          <w:szCs w:val="24"/>
        </w:rPr>
        <w:t>AMERICAN DECLARATION</w:t>
      </w:r>
      <w:r w:rsidR="001666F9" w:rsidRPr="00F33937">
        <w:rPr>
          <w:rFonts w:ascii="Times New Roman" w:hAnsi="Times New Roman" w:cs="Times New Roman"/>
          <w:sz w:val="24"/>
          <w:szCs w:val="24"/>
        </w:rPr>
        <w:t xml:space="preserve"> ON HUMAN RIGHTS</w:t>
      </w:r>
    </w:p>
    <w:p w14:paraId="3E3B49C1" w14:textId="43109135" w:rsidR="00314E61" w:rsidRPr="00F33937" w:rsidRDefault="00314E61" w:rsidP="002430AA">
      <w:pPr>
        <w:spacing w:line="480" w:lineRule="auto"/>
        <w:rPr>
          <w:rFonts w:ascii="Times New Roman" w:hAnsi="Times New Roman" w:cs="Times New Roman"/>
          <w:sz w:val="24"/>
          <w:szCs w:val="24"/>
        </w:rPr>
      </w:pPr>
      <w:r w:rsidRPr="00F33937">
        <w:rPr>
          <w:rFonts w:ascii="Times New Roman" w:hAnsi="Times New Roman" w:cs="Times New Roman"/>
          <w:sz w:val="24"/>
          <w:szCs w:val="24"/>
        </w:rPr>
        <w:t>3 – ARGUMENTS ON THE MERITS...........................................................................................8</w:t>
      </w:r>
    </w:p>
    <w:p w14:paraId="648336C6" w14:textId="2201B6B5" w:rsidR="00E65D65" w:rsidRPr="00F33937" w:rsidRDefault="00ED6722" w:rsidP="00C84A0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3.1</w:t>
      </w:r>
      <w:r w:rsidR="001666F9" w:rsidRPr="00F33937">
        <w:rPr>
          <w:rFonts w:ascii="Times New Roman" w:hAnsi="Times New Roman" w:cs="Times New Roman"/>
          <w:sz w:val="24"/>
          <w:szCs w:val="24"/>
        </w:rPr>
        <w:t xml:space="preserve"> – </w:t>
      </w:r>
      <w:r w:rsidR="00912D4C" w:rsidRPr="00F33937">
        <w:rPr>
          <w:rFonts w:ascii="Times New Roman" w:hAnsi="Times New Roman" w:cs="Times New Roman"/>
          <w:sz w:val="24"/>
          <w:szCs w:val="24"/>
        </w:rPr>
        <w:t>RIGHT TO HUMAN</w:t>
      </w:r>
      <w:r w:rsidR="009835BF" w:rsidRPr="00F33937">
        <w:rPr>
          <w:rFonts w:ascii="Times New Roman" w:hAnsi="Times New Roman" w:cs="Times New Roman"/>
          <w:sz w:val="24"/>
          <w:szCs w:val="24"/>
        </w:rPr>
        <w:t>E TREATMENT</w:t>
      </w:r>
      <w:r w:rsidR="00791283" w:rsidRPr="00F33937">
        <w:rPr>
          <w:rFonts w:ascii="Times New Roman" w:hAnsi="Times New Roman" w:cs="Times New Roman"/>
          <w:sz w:val="24"/>
          <w:szCs w:val="24"/>
        </w:rPr>
        <w:t>........................................</w:t>
      </w:r>
      <w:r w:rsidR="00AC62B0" w:rsidRPr="00F33937">
        <w:rPr>
          <w:rFonts w:ascii="Times New Roman" w:hAnsi="Times New Roman" w:cs="Times New Roman"/>
          <w:sz w:val="24"/>
          <w:szCs w:val="24"/>
        </w:rPr>
        <w:t>........................</w:t>
      </w:r>
      <w:r w:rsidR="000104C5" w:rsidRPr="00F33937">
        <w:rPr>
          <w:rFonts w:ascii="Times New Roman" w:hAnsi="Times New Roman" w:cs="Times New Roman"/>
          <w:sz w:val="24"/>
          <w:szCs w:val="24"/>
        </w:rPr>
        <w:t>......8</w:t>
      </w:r>
    </w:p>
    <w:p w14:paraId="06CA3A6A" w14:textId="22FCB174" w:rsidR="00912D4C" w:rsidRPr="00F33937" w:rsidRDefault="00E65D65" w:rsidP="00C84A0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Pr="00F33937">
        <w:rPr>
          <w:rFonts w:ascii="Times New Roman" w:hAnsi="Times New Roman" w:cs="Times New Roman"/>
          <w:sz w:val="24"/>
          <w:szCs w:val="24"/>
        </w:rPr>
        <w:tab/>
      </w:r>
      <w:r w:rsidR="0068267A" w:rsidRPr="00F33937">
        <w:rPr>
          <w:rFonts w:ascii="Times New Roman" w:hAnsi="Times New Roman" w:cs="Times New Roman"/>
          <w:i/>
          <w:sz w:val="24"/>
          <w:szCs w:val="24"/>
        </w:rPr>
        <w:t>The State Exacted Kin Punishment on Massacre Survivors</w:t>
      </w:r>
      <w:r w:rsidR="00A524D2" w:rsidRPr="00F33937">
        <w:rPr>
          <w:rFonts w:ascii="Times New Roman" w:hAnsi="Times New Roman" w:cs="Times New Roman"/>
          <w:sz w:val="24"/>
          <w:szCs w:val="24"/>
        </w:rPr>
        <w:t>.............................</w:t>
      </w:r>
      <w:r w:rsidR="00791283" w:rsidRPr="00F33937">
        <w:rPr>
          <w:rFonts w:ascii="Times New Roman" w:hAnsi="Times New Roman" w:cs="Times New Roman"/>
          <w:sz w:val="24"/>
          <w:szCs w:val="24"/>
        </w:rPr>
        <w:t>......</w:t>
      </w:r>
      <w:r w:rsidR="000104C5" w:rsidRPr="00F33937">
        <w:rPr>
          <w:rFonts w:ascii="Times New Roman" w:hAnsi="Times New Roman" w:cs="Times New Roman"/>
          <w:sz w:val="24"/>
          <w:szCs w:val="24"/>
        </w:rPr>
        <w:t>.8</w:t>
      </w:r>
      <w:r w:rsidRPr="00F33937">
        <w:rPr>
          <w:rFonts w:ascii="Times New Roman" w:hAnsi="Times New Roman" w:cs="Times New Roman"/>
          <w:sz w:val="24"/>
          <w:szCs w:val="24"/>
        </w:rPr>
        <w:t xml:space="preserve"> </w:t>
      </w:r>
    </w:p>
    <w:p w14:paraId="7808E1B8" w14:textId="0D516AB3" w:rsidR="00920069" w:rsidRPr="00F33937" w:rsidRDefault="001A15DA" w:rsidP="00C84A0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ED6722" w:rsidRPr="00F33937">
        <w:rPr>
          <w:rFonts w:ascii="Times New Roman" w:hAnsi="Times New Roman" w:cs="Times New Roman"/>
          <w:sz w:val="24"/>
          <w:szCs w:val="24"/>
        </w:rPr>
        <w:t>3.2</w:t>
      </w:r>
      <w:r w:rsidR="001666F9" w:rsidRPr="00F33937">
        <w:rPr>
          <w:rFonts w:ascii="Times New Roman" w:hAnsi="Times New Roman" w:cs="Times New Roman"/>
          <w:sz w:val="24"/>
          <w:szCs w:val="24"/>
        </w:rPr>
        <w:t xml:space="preserve"> – </w:t>
      </w:r>
      <w:r w:rsidR="009835BF" w:rsidRPr="00F33937">
        <w:rPr>
          <w:rFonts w:ascii="Times New Roman" w:hAnsi="Times New Roman" w:cs="Times New Roman"/>
          <w:sz w:val="24"/>
          <w:szCs w:val="24"/>
        </w:rPr>
        <w:t xml:space="preserve">RIGHT TO </w:t>
      </w:r>
      <w:r w:rsidR="00AF7587" w:rsidRPr="00F33937">
        <w:rPr>
          <w:rFonts w:ascii="Times New Roman" w:hAnsi="Times New Roman" w:cs="Times New Roman"/>
          <w:sz w:val="24"/>
          <w:szCs w:val="24"/>
        </w:rPr>
        <w:t>PERSONAL LIBERTY</w:t>
      </w:r>
      <w:r w:rsidR="00920069" w:rsidRPr="00F33937">
        <w:rPr>
          <w:rFonts w:ascii="Times New Roman" w:hAnsi="Times New Roman" w:cs="Times New Roman"/>
          <w:sz w:val="24"/>
          <w:szCs w:val="24"/>
        </w:rPr>
        <w:t>......................</w:t>
      </w:r>
      <w:r w:rsidR="00AC62B0" w:rsidRPr="00F33937">
        <w:rPr>
          <w:rFonts w:ascii="Times New Roman" w:hAnsi="Times New Roman" w:cs="Times New Roman"/>
          <w:sz w:val="24"/>
          <w:szCs w:val="24"/>
        </w:rPr>
        <w:t>.....</w:t>
      </w:r>
      <w:r w:rsidR="00384D0F" w:rsidRPr="00F33937">
        <w:rPr>
          <w:rFonts w:ascii="Times New Roman" w:hAnsi="Times New Roman" w:cs="Times New Roman"/>
          <w:sz w:val="24"/>
          <w:szCs w:val="24"/>
        </w:rPr>
        <w:t>....</w:t>
      </w:r>
      <w:r w:rsidR="00AC62B0" w:rsidRPr="00F33937">
        <w:rPr>
          <w:rFonts w:ascii="Times New Roman" w:hAnsi="Times New Roman" w:cs="Times New Roman"/>
          <w:sz w:val="24"/>
          <w:szCs w:val="24"/>
        </w:rPr>
        <w:t>...............................</w:t>
      </w:r>
      <w:r w:rsidR="00920069" w:rsidRPr="00F33937">
        <w:rPr>
          <w:rFonts w:ascii="Times New Roman" w:hAnsi="Times New Roman" w:cs="Times New Roman"/>
          <w:sz w:val="24"/>
          <w:szCs w:val="24"/>
        </w:rPr>
        <w:t>..........</w:t>
      </w:r>
      <w:r w:rsidR="000104C5" w:rsidRPr="00F33937">
        <w:rPr>
          <w:rFonts w:ascii="Times New Roman" w:hAnsi="Times New Roman" w:cs="Times New Roman"/>
          <w:sz w:val="24"/>
          <w:szCs w:val="24"/>
        </w:rPr>
        <w:t>11</w:t>
      </w:r>
    </w:p>
    <w:p w14:paraId="6E064052" w14:textId="77777777" w:rsidR="00FD2A6E" w:rsidRPr="00F33937" w:rsidRDefault="001A15DA" w:rsidP="00BA1FC3">
      <w:pPr>
        <w:spacing w:after="0" w:line="240" w:lineRule="auto"/>
        <w:contextualSpacing/>
        <w:rPr>
          <w:rFonts w:ascii="Times New Roman" w:hAnsi="Times New Roman" w:cs="Times New Roman"/>
          <w:i/>
          <w:sz w:val="24"/>
          <w:szCs w:val="24"/>
        </w:rPr>
      </w:pPr>
      <w:r w:rsidRPr="00F33937">
        <w:rPr>
          <w:rFonts w:ascii="Times New Roman" w:hAnsi="Times New Roman" w:cs="Times New Roman"/>
          <w:sz w:val="24"/>
          <w:szCs w:val="24"/>
        </w:rPr>
        <w:tab/>
      </w:r>
      <w:r w:rsidRPr="00F33937">
        <w:rPr>
          <w:rFonts w:ascii="Times New Roman" w:hAnsi="Times New Roman" w:cs="Times New Roman"/>
          <w:sz w:val="24"/>
          <w:szCs w:val="24"/>
        </w:rPr>
        <w:tab/>
      </w:r>
      <w:r w:rsidR="0068267A" w:rsidRPr="00F33937">
        <w:rPr>
          <w:rFonts w:ascii="Times New Roman" w:hAnsi="Times New Roman" w:cs="Times New Roman"/>
          <w:i/>
          <w:sz w:val="24"/>
          <w:szCs w:val="24"/>
        </w:rPr>
        <w:t xml:space="preserve">Via Environmental Risk, the State Interfered </w:t>
      </w:r>
    </w:p>
    <w:p w14:paraId="478C09B7" w14:textId="77777777" w:rsidR="00BA1FC3" w:rsidRPr="00F33937" w:rsidRDefault="00FD2A6E" w:rsidP="00BA1FC3">
      <w:pPr>
        <w:spacing w:after="0" w:line="240" w:lineRule="auto"/>
        <w:contextualSpacing/>
        <w:rPr>
          <w:rFonts w:ascii="Times New Roman" w:hAnsi="Times New Roman" w:cs="Times New Roman"/>
          <w:sz w:val="24"/>
          <w:szCs w:val="24"/>
        </w:rPr>
      </w:pPr>
      <w:r w:rsidRPr="00F33937">
        <w:rPr>
          <w:rFonts w:ascii="Times New Roman" w:hAnsi="Times New Roman" w:cs="Times New Roman"/>
          <w:i/>
          <w:sz w:val="24"/>
          <w:szCs w:val="24"/>
        </w:rPr>
        <w:tab/>
      </w:r>
      <w:r w:rsidRPr="00F33937">
        <w:rPr>
          <w:rFonts w:ascii="Times New Roman" w:hAnsi="Times New Roman" w:cs="Times New Roman"/>
          <w:i/>
          <w:sz w:val="24"/>
          <w:szCs w:val="24"/>
        </w:rPr>
        <w:tab/>
      </w:r>
      <w:r w:rsidR="0068267A" w:rsidRPr="00F33937">
        <w:rPr>
          <w:rFonts w:ascii="Times New Roman" w:hAnsi="Times New Roman" w:cs="Times New Roman"/>
          <w:i/>
          <w:sz w:val="24"/>
          <w:szCs w:val="24"/>
        </w:rPr>
        <w:t>with Families’ Liberty and Security</w:t>
      </w:r>
      <w:r w:rsidRPr="00F33937">
        <w:rPr>
          <w:rFonts w:ascii="Times New Roman" w:hAnsi="Times New Roman" w:cs="Times New Roman"/>
          <w:sz w:val="24"/>
          <w:szCs w:val="24"/>
        </w:rPr>
        <w:t>.........................................</w:t>
      </w:r>
      <w:r w:rsidR="00384D0F" w:rsidRPr="00F33937">
        <w:rPr>
          <w:rFonts w:ascii="Times New Roman" w:hAnsi="Times New Roman" w:cs="Times New Roman"/>
          <w:sz w:val="24"/>
          <w:szCs w:val="24"/>
        </w:rPr>
        <w:t>......</w:t>
      </w:r>
      <w:r w:rsidRPr="00F33937">
        <w:rPr>
          <w:rFonts w:ascii="Times New Roman" w:hAnsi="Times New Roman" w:cs="Times New Roman"/>
          <w:sz w:val="24"/>
          <w:szCs w:val="24"/>
        </w:rPr>
        <w:t>.......................</w:t>
      </w:r>
      <w:r w:rsidR="000104C5" w:rsidRPr="00F33937">
        <w:rPr>
          <w:rFonts w:ascii="Times New Roman" w:hAnsi="Times New Roman" w:cs="Times New Roman"/>
          <w:sz w:val="24"/>
          <w:szCs w:val="24"/>
        </w:rPr>
        <w:t>11</w:t>
      </w:r>
    </w:p>
    <w:p w14:paraId="7E6973F0" w14:textId="625D9C7B" w:rsidR="00C84A09" w:rsidRPr="00F33937" w:rsidRDefault="0068267A" w:rsidP="00BA1FC3">
      <w:pPr>
        <w:spacing w:after="0" w:line="240" w:lineRule="auto"/>
        <w:contextualSpacing/>
        <w:rPr>
          <w:rFonts w:ascii="Times New Roman" w:hAnsi="Times New Roman" w:cs="Times New Roman"/>
          <w:i/>
          <w:sz w:val="24"/>
          <w:szCs w:val="24"/>
        </w:rPr>
      </w:pPr>
      <w:r w:rsidRPr="00F33937">
        <w:rPr>
          <w:rFonts w:ascii="Times New Roman" w:hAnsi="Times New Roman" w:cs="Times New Roman"/>
          <w:i/>
          <w:sz w:val="24"/>
          <w:szCs w:val="24"/>
        </w:rPr>
        <w:t xml:space="preserve"> </w:t>
      </w:r>
    </w:p>
    <w:p w14:paraId="07C8524C" w14:textId="7DA7C1DC" w:rsidR="00920069" w:rsidRPr="00F33937" w:rsidRDefault="001A15DA" w:rsidP="00C84A0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ED6722" w:rsidRPr="00F33937">
        <w:rPr>
          <w:rFonts w:ascii="Times New Roman" w:hAnsi="Times New Roman" w:cs="Times New Roman"/>
          <w:sz w:val="24"/>
          <w:szCs w:val="24"/>
        </w:rPr>
        <w:t>3.3</w:t>
      </w:r>
      <w:r w:rsidR="001666F9" w:rsidRPr="00F33937">
        <w:rPr>
          <w:rFonts w:ascii="Times New Roman" w:hAnsi="Times New Roman" w:cs="Times New Roman"/>
          <w:sz w:val="24"/>
          <w:szCs w:val="24"/>
        </w:rPr>
        <w:t xml:space="preserve"> – </w:t>
      </w:r>
      <w:r w:rsidR="009835BF" w:rsidRPr="00F33937">
        <w:rPr>
          <w:rFonts w:ascii="Times New Roman" w:hAnsi="Times New Roman" w:cs="Times New Roman"/>
          <w:sz w:val="24"/>
          <w:szCs w:val="24"/>
        </w:rPr>
        <w:t xml:space="preserve">RIGHT TO </w:t>
      </w:r>
      <w:r w:rsidR="00920069" w:rsidRPr="00F33937">
        <w:rPr>
          <w:rFonts w:ascii="Times New Roman" w:hAnsi="Times New Roman" w:cs="Times New Roman"/>
          <w:sz w:val="24"/>
          <w:szCs w:val="24"/>
        </w:rPr>
        <w:t>A F</w:t>
      </w:r>
      <w:r w:rsidR="0090716E" w:rsidRPr="00F33937">
        <w:rPr>
          <w:rFonts w:ascii="Times New Roman" w:hAnsi="Times New Roman" w:cs="Times New Roman"/>
          <w:sz w:val="24"/>
          <w:szCs w:val="24"/>
        </w:rPr>
        <w:t>AIR TRIAL</w:t>
      </w:r>
      <w:r w:rsidR="00791283" w:rsidRPr="00F33937">
        <w:rPr>
          <w:rFonts w:ascii="Times New Roman" w:hAnsi="Times New Roman" w:cs="Times New Roman"/>
          <w:sz w:val="24"/>
          <w:szCs w:val="24"/>
        </w:rPr>
        <w:t>........................................</w:t>
      </w:r>
      <w:r w:rsidR="00AC62B0" w:rsidRPr="00F33937">
        <w:rPr>
          <w:rFonts w:ascii="Times New Roman" w:hAnsi="Times New Roman" w:cs="Times New Roman"/>
          <w:sz w:val="24"/>
          <w:szCs w:val="24"/>
        </w:rPr>
        <w:t>.......................</w:t>
      </w:r>
      <w:r w:rsidR="00384D0F" w:rsidRPr="00F33937">
        <w:rPr>
          <w:rFonts w:ascii="Times New Roman" w:hAnsi="Times New Roman" w:cs="Times New Roman"/>
          <w:sz w:val="24"/>
          <w:szCs w:val="24"/>
        </w:rPr>
        <w:t>.........</w:t>
      </w:r>
      <w:r w:rsidR="00AC62B0" w:rsidRPr="00F33937">
        <w:rPr>
          <w:rFonts w:ascii="Times New Roman" w:hAnsi="Times New Roman" w:cs="Times New Roman"/>
          <w:sz w:val="24"/>
          <w:szCs w:val="24"/>
        </w:rPr>
        <w:t>.............</w:t>
      </w:r>
      <w:r w:rsidR="000104C5" w:rsidRPr="00F33937">
        <w:rPr>
          <w:rFonts w:ascii="Times New Roman" w:hAnsi="Times New Roman" w:cs="Times New Roman"/>
          <w:sz w:val="24"/>
          <w:szCs w:val="24"/>
        </w:rPr>
        <w:t>15</w:t>
      </w:r>
    </w:p>
    <w:p w14:paraId="263F4B27" w14:textId="6AD3EA9C" w:rsidR="00C84A09" w:rsidRPr="00F33937" w:rsidRDefault="001A15DA" w:rsidP="00C84A09">
      <w:pPr>
        <w:spacing w:line="480" w:lineRule="auto"/>
        <w:contextualSpacing/>
        <w:rPr>
          <w:rFonts w:ascii="Times New Roman" w:hAnsi="Times New Roman" w:cs="Times New Roman"/>
          <w:i/>
          <w:sz w:val="24"/>
          <w:szCs w:val="24"/>
        </w:rPr>
      </w:pPr>
      <w:r w:rsidRPr="00F33937">
        <w:rPr>
          <w:rFonts w:ascii="Times New Roman" w:hAnsi="Times New Roman" w:cs="Times New Roman"/>
          <w:sz w:val="24"/>
          <w:szCs w:val="24"/>
        </w:rPr>
        <w:tab/>
      </w:r>
      <w:r w:rsidRPr="00F33937">
        <w:rPr>
          <w:rFonts w:ascii="Times New Roman" w:hAnsi="Times New Roman" w:cs="Times New Roman"/>
          <w:sz w:val="24"/>
          <w:szCs w:val="24"/>
        </w:rPr>
        <w:tab/>
      </w:r>
      <w:r w:rsidR="0068267A" w:rsidRPr="00F33937">
        <w:rPr>
          <w:rFonts w:ascii="Times New Roman" w:hAnsi="Times New Roman" w:cs="Times New Roman"/>
          <w:i/>
          <w:sz w:val="24"/>
          <w:szCs w:val="24"/>
        </w:rPr>
        <w:t>The State’s Access t</w:t>
      </w:r>
      <w:r w:rsidR="003348A3" w:rsidRPr="00F33937">
        <w:rPr>
          <w:rFonts w:ascii="Times New Roman" w:hAnsi="Times New Roman" w:cs="Times New Roman"/>
          <w:i/>
          <w:sz w:val="24"/>
          <w:szCs w:val="24"/>
        </w:rPr>
        <w:t>o Justice Policy Discriminated a</w:t>
      </w:r>
      <w:r w:rsidR="0068267A" w:rsidRPr="00F33937">
        <w:rPr>
          <w:rFonts w:ascii="Times New Roman" w:hAnsi="Times New Roman" w:cs="Times New Roman"/>
          <w:i/>
          <w:sz w:val="24"/>
          <w:szCs w:val="24"/>
        </w:rPr>
        <w:t>gainst the Families</w:t>
      </w:r>
      <w:r w:rsidR="000104C5" w:rsidRPr="00F33937">
        <w:rPr>
          <w:rFonts w:ascii="Times New Roman" w:hAnsi="Times New Roman" w:cs="Times New Roman"/>
          <w:sz w:val="24"/>
          <w:szCs w:val="24"/>
        </w:rPr>
        <w:t>.....</w:t>
      </w:r>
      <w:r w:rsidR="00FD2A6E" w:rsidRPr="00F33937">
        <w:rPr>
          <w:rFonts w:ascii="Times New Roman" w:hAnsi="Times New Roman" w:cs="Times New Roman"/>
          <w:sz w:val="24"/>
          <w:szCs w:val="24"/>
        </w:rPr>
        <w:t>.......</w:t>
      </w:r>
      <w:r w:rsidR="000104C5" w:rsidRPr="00F33937">
        <w:rPr>
          <w:rFonts w:ascii="Times New Roman" w:hAnsi="Times New Roman" w:cs="Times New Roman"/>
          <w:sz w:val="24"/>
          <w:szCs w:val="24"/>
        </w:rPr>
        <w:t>15</w:t>
      </w:r>
    </w:p>
    <w:p w14:paraId="366B8AE3" w14:textId="27C50072" w:rsidR="00920069" w:rsidRPr="00F33937" w:rsidRDefault="001A15DA" w:rsidP="00C84A0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ED6722" w:rsidRPr="00F33937">
        <w:rPr>
          <w:rFonts w:ascii="Times New Roman" w:hAnsi="Times New Roman" w:cs="Times New Roman"/>
          <w:sz w:val="24"/>
          <w:szCs w:val="24"/>
        </w:rPr>
        <w:t>3.4</w:t>
      </w:r>
      <w:r w:rsidR="001666F9" w:rsidRPr="00F33937">
        <w:rPr>
          <w:rFonts w:ascii="Times New Roman" w:hAnsi="Times New Roman" w:cs="Times New Roman"/>
          <w:sz w:val="24"/>
          <w:szCs w:val="24"/>
        </w:rPr>
        <w:t xml:space="preserve"> – </w:t>
      </w:r>
      <w:r w:rsidR="009835BF" w:rsidRPr="00F33937">
        <w:rPr>
          <w:rFonts w:ascii="Times New Roman" w:hAnsi="Times New Roman" w:cs="Times New Roman"/>
          <w:sz w:val="24"/>
          <w:szCs w:val="24"/>
        </w:rPr>
        <w:t xml:space="preserve">RIGHT </w:t>
      </w:r>
      <w:r w:rsidR="00920069" w:rsidRPr="00F33937">
        <w:rPr>
          <w:rFonts w:ascii="Times New Roman" w:hAnsi="Times New Roman" w:cs="Times New Roman"/>
          <w:sz w:val="24"/>
          <w:szCs w:val="24"/>
        </w:rPr>
        <w:t>T</w:t>
      </w:r>
      <w:r w:rsidR="001666F9" w:rsidRPr="00F33937">
        <w:rPr>
          <w:rFonts w:ascii="Times New Roman" w:hAnsi="Times New Roman" w:cs="Times New Roman"/>
          <w:sz w:val="24"/>
          <w:szCs w:val="24"/>
        </w:rPr>
        <w:t>O PRIVACY</w:t>
      </w:r>
      <w:r w:rsidR="00791283" w:rsidRPr="00F33937">
        <w:rPr>
          <w:rFonts w:ascii="Times New Roman" w:hAnsi="Times New Roman" w:cs="Times New Roman"/>
          <w:sz w:val="24"/>
          <w:szCs w:val="24"/>
        </w:rPr>
        <w:t>........................................</w:t>
      </w:r>
      <w:r w:rsidR="00AC62B0" w:rsidRPr="00F33937">
        <w:rPr>
          <w:rFonts w:ascii="Times New Roman" w:hAnsi="Times New Roman" w:cs="Times New Roman"/>
          <w:sz w:val="24"/>
          <w:szCs w:val="24"/>
        </w:rPr>
        <w:t>........................................</w:t>
      </w:r>
      <w:r w:rsidR="00384D0F" w:rsidRPr="00F33937">
        <w:rPr>
          <w:rFonts w:ascii="Times New Roman" w:hAnsi="Times New Roman" w:cs="Times New Roman"/>
          <w:sz w:val="24"/>
          <w:szCs w:val="24"/>
        </w:rPr>
        <w:t>.....</w:t>
      </w:r>
      <w:r w:rsidR="00AC62B0" w:rsidRPr="00F33937">
        <w:rPr>
          <w:rFonts w:ascii="Times New Roman" w:hAnsi="Times New Roman" w:cs="Times New Roman"/>
          <w:sz w:val="24"/>
          <w:szCs w:val="24"/>
        </w:rPr>
        <w:t>........</w:t>
      </w:r>
      <w:r w:rsidR="000104C5" w:rsidRPr="00F33937">
        <w:rPr>
          <w:rFonts w:ascii="Times New Roman" w:hAnsi="Times New Roman" w:cs="Times New Roman"/>
          <w:sz w:val="24"/>
          <w:szCs w:val="24"/>
        </w:rPr>
        <w:t>18</w:t>
      </w:r>
    </w:p>
    <w:p w14:paraId="48D1F581" w14:textId="0946A92A" w:rsidR="001A15DA" w:rsidRPr="00F33937" w:rsidRDefault="001A15DA" w:rsidP="00C84A09">
      <w:pPr>
        <w:spacing w:line="480" w:lineRule="auto"/>
        <w:contextualSpacing/>
        <w:rPr>
          <w:rFonts w:ascii="Times New Roman" w:hAnsi="Times New Roman" w:cs="Times New Roman"/>
          <w:i/>
          <w:sz w:val="24"/>
          <w:szCs w:val="24"/>
        </w:rPr>
      </w:pPr>
      <w:r w:rsidRPr="00F33937">
        <w:rPr>
          <w:rFonts w:ascii="Times New Roman" w:hAnsi="Times New Roman" w:cs="Times New Roman"/>
          <w:sz w:val="24"/>
          <w:szCs w:val="24"/>
        </w:rPr>
        <w:tab/>
      </w:r>
      <w:r w:rsidRPr="00F33937">
        <w:rPr>
          <w:rFonts w:ascii="Times New Roman" w:hAnsi="Times New Roman" w:cs="Times New Roman"/>
          <w:sz w:val="24"/>
          <w:szCs w:val="24"/>
        </w:rPr>
        <w:tab/>
      </w:r>
      <w:r w:rsidR="0068267A" w:rsidRPr="00F33937">
        <w:rPr>
          <w:rFonts w:ascii="Times New Roman" w:hAnsi="Times New Roman" w:cs="Times New Roman"/>
          <w:i/>
          <w:sz w:val="24"/>
          <w:szCs w:val="24"/>
        </w:rPr>
        <w:t>The State Failed to Notify Families of Surveillance</w:t>
      </w:r>
      <w:r w:rsidR="00FD2A6E" w:rsidRPr="00F33937">
        <w:rPr>
          <w:rFonts w:ascii="Times New Roman" w:hAnsi="Times New Roman" w:cs="Times New Roman"/>
          <w:sz w:val="24"/>
          <w:szCs w:val="24"/>
        </w:rPr>
        <w:t>..............................................</w:t>
      </w:r>
      <w:r w:rsidR="000104C5" w:rsidRPr="00F33937">
        <w:rPr>
          <w:rFonts w:ascii="Times New Roman" w:hAnsi="Times New Roman" w:cs="Times New Roman"/>
          <w:sz w:val="24"/>
          <w:szCs w:val="24"/>
        </w:rPr>
        <w:t>18</w:t>
      </w:r>
      <w:r w:rsidR="0068267A" w:rsidRPr="00F33937">
        <w:rPr>
          <w:rFonts w:ascii="Times New Roman" w:hAnsi="Times New Roman" w:cs="Times New Roman"/>
          <w:i/>
          <w:sz w:val="24"/>
          <w:szCs w:val="24"/>
        </w:rPr>
        <w:t xml:space="preserve">  </w:t>
      </w:r>
    </w:p>
    <w:p w14:paraId="56BBFBCF" w14:textId="4BAEE211" w:rsidR="00920069" w:rsidRPr="00F33937" w:rsidRDefault="001A15DA" w:rsidP="00C84A0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ED6722" w:rsidRPr="00F33937">
        <w:rPr>
          <w:rFonts w:ascii="Times New Roman" w:hAnsi="Times New Roman" w:cs="Times New Roman"/>
          <w:sz w:val="24"/>
          <w:szCs w:val="24"/>
        </w:rPr>
        <w:t>3.5</w:t>
      </w:r>
      <w:r w:rsidR="00920069" w:rsidRPr="00F33937">
        <w:rPr>
          <w:rFonts w:ascii="Times New Roman" w:hAnsi="Times New Roman" w:cs="Times New Roman"/>
          <w:sz w:val="24"/>
          <w:szCs w:val="24"/>
        </w:rPr>
        <w:t xml:space="preserve"> –FREEDOM OF THOUGHT AND E</w:t>
      </w:r>
      <w:r w:rsidR="009835BF" w:rsidRPr="00F33937">
        <w:rPr>
          <w:rFonts w:ascii="Times New Roman" w:hAnsi="Times New Roman" w:cs="Times New Roman"/>
          <w:sz w:val="24"/>
          <w:szCs w:val="24"/>
        </w:rPr>
        <w:t>XPRESSION</w:t>
      </w:r>
      <w:r w:rsidR="00920069" w:rsidRPr="00F33937">
        <w:rPr>
          <w:rFonts w:ascii="Times New Roman" w:hAnsi="Times New Roman" w:cs="Times New Roman"/>
          <w:sz w:val="24"/>
          <w:szCs w:val="24"/>
        </w:rPr>
        <w:t>............</w:t>
      </w:r>
      <w:r w:rsidR="004A7DD0" w:rsidRPr="00F33937">
        <w:rPr>
          <w:rFonts w:ascii="Times New Roman" w:hAnsi="Times New Roman" w:cs="Times New Roman"/>
          <w:sz w:val="24"/>
          <w:szCs w:val="24"/>
        </w:rPr>
        <w:t>....</w:t>
      </w:r>
      <w:r w:rsidR="00920069" w:rsidRPr="00F33937">
        <w:rPr>
          <w:rFonts w:ascii="Times New Roman" w:hAnsi="Times New Roman" w:cs="Times New Roman"/>
          <w:sz w:val="24"/>
          <w:szCs w:val="24"/>
        </w:rPr>
        <w:t>.......</w:t>
      </w:r>
      <w:r w:rsidR="00384D0F" w:rsidRPr="00F33937">
        <w:rPr>
          <w:rFonts w:ascii="Times New Roman" w:hAnsi="Times New Roman" w:cs="Times New Roman"/>
          <w:sz w:val="24"/>
          <w:szCs w:val="24"/>
        </w:rPr>
        <w:t>.....................</w:t>
      </w:r>
      <w:r w:rsidR="00920069" w:rsidRPr="00F33937">
        <w:rPr>
          <w:rFonts w:ascii="Times New Roman" w:hAnsi="Times New Roman" w:cs="Times New Roman"/>
          <w:sz w:val="24"/>
          <w:szCs w:val="24"/>
        </w:rPr>
        <w:t>.......</w:t>
      </w:r>
      <w:r w:rsidR="000104C5" w:rsidRPr="00F33937">
        <w:rPr>
          <w:rFonts w:ascii="Times New Roman" w:hAnsi="Times New Roman" w:cs="Times New Roman"/>
          <w:sz w:val="24"/>
          <w:szCs w:val="24"/>
        </w:rPr>
        <w:t>20</w:t>
      </w:r>
    </w:p>
    <w:p w14:paraId="76018FFC" w14:textId="0F23790D" w:rsidR="001A15DA" w:rsidRPr="00F33937" w:rsidRDefault="001A15DA" w:rsidP="00C84A09">
      <w:pPr>
        <w:spacing w:line="480" w:lineRule="auto"/>
        <w:contextualSpacing/>
        <w:rPr>
          <w:rFonts w:ascii="Times New Roman" w:hAnsi="Times New Roman" w:cs="Times New Roman"/>
          <w:i/>
          <w:sz w:val="24"/>
          <w:szCs w:val="24"/>
        </w:rPr>
      </w:pPr>
      <w:r w:rsidRPr="00F33937">
        <w:rPr>
          <w:rFonts w:ascii="Times New Roman" w:hAnsi="Times New Roman" w:cs="Times New Roman"/>
          <w:sz w:val="24"/>
          <w:szCs w:val="24"/>
        </w:rPr>
        <w:tab/>
      </w:r>
      <w:r w:rsidRPr="00F33937">
        <w:rPr>
          <w:rFonts w:ascii="Times New Roman" w:hAnsi="Times New Roman" w:cs="Times New Roman"/>
          <w:sz w:val="24"/>
          <w:szCs w:val="24"/>
        </w:rPr>
        <w:tab/>
      </w:r>
      <w:r w:rsidR="0068267A" w:rsidRPr="00F33937">
        <w:rPr>
          <w:rFonts w:ascii="Times New Roman" w:hAnsi="Times New Roman" w:cs="Times New Roman"/>
          <w:i/>
          <w:sz w:val="24"/>
          <w:szCs w:val="24"/>
        </w:rPr>
        <w:t>State War Propaganda Targeted Enmeshed Residents</w:t>
      </w:r>
      <w:r w:rsidR="00FD2A6E" w:rsidRPr="00F33937">
        <w:rPr>
          <w:rFonts w:ascii="Times New Roman" w:hAnsi="Times New Roman" w:cs="Times New Roman"/>
          <w:sz w:val="24"/>
          <w:szCs w:val="24"/>
        </w:rPr>
        <w:t>...............</w:t>
      </w:r>
      <w:r w:rsidR="00384D0F" w:rsidRPr="00F33937">
        <w:rPr>
          <w:rFonts w:ascii="Times New Roman" w:hAnsi="Times New Roman" w:cs="Times New Roman"/>
          <w:sz w:val="24"/>
          <w:szCs w:val="24"/>
        </w:rPr>
        <w:t>......</w:t>
      </w:r>
      <w:r w:rsidR="00FD2A6E" w:rsidRPr="00F33937">
        <w:rPr>
          <w:rFonts w:ascii="Times New Roman" w:hAnsi="Times New Roman" w:cs="Times New Roman"/>
          <w:sz w:val="24"/>
          <w:szCs w:val="24"/>
        </w:rPr>
        <w:t>....................</w:t>
      </w:r>
      <w:r w:rsidR="000104C5" w:rsidRPr="00F33937">
        <w:rPr>
          <w:rFonts w:ascii="Times New Roman" w:hAnsi="Times New Roman" w:cs="Times New Roman"/>
          <w:sz w:val="24"/>
          <w:szCs w:val="24"/>
        </w:rPr>
        <w:t>20</w:t>
      </w:r>
      <w:r w:rsidR="0068267A" w:rsidRPr="00F33937">
        <w:rPr>
          <w:rFonts w:ascii="Times New Roman" w:hAnsi="Times New Roman" w:cs="Times New Roman"/>
          <w:i/>
          <w:sz w:val="24"/>
          <w:szCs w:val="24"/>
        </w:rPr>
        <w:t xml:space="preserve"> </w:t>
      </w:r>
      <w:r w:rsidRPr="00F33937">
        <w:rPr>
          <w:rFonts w:ascii="Times New Roman" w:hAnsi="Times New Roman" w:cs="Times New Roman"/>
          <w:sz w:val="24"/>
          <w:szCs w:val="24"/>
        </w:rPr>
        <w:t xml:space="preserve"> </w:t>
      </w:r>
    </w:p>
    <w:p w14:paraId="04B809C5" w14:textId="5361BAA0" w:rsidR="00920069" w:rsidRPr="00F33937" w:rsidRDefault="001A15DA" w:rsidP="00C84A0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ED6722" w:rsidRPr="00F33937">
        <w:rPr>
          <w:rFonts w:ascii="Times New Roman" w:hAnsi="Times New Roman" w:cs="Times New Roman"/>
          <w:sz w:val="24"/>
          <w:szCs w:val="24"/>
        </w:rPr>
        <w:t>3.6</w:t>
      </w:r>
      <w:r w:rsidR="001666F9" w:rsidRPr="00F33937">
        <w:rPr>
          <w:rFonts w:ascii="Times New Roman" w:hAnsi="Times New Roman" w:cs="Times New Roman"/>
          <w:sz w:val="24"/>
          <w:szCs w:val="24"/>
        </w:rPr>
        <w:t xml:space="preserve"> – </w:t>
      </w:r>
      <w:r w:rsidR="00920069" w:rsidRPr="00F33937">
        <w:rPr>
          <w:rFonts w:ascii="Times New Roman" w:hAnsi="Times New Roman" w:cs="Times New Roman"/>
          <w:sz w:val="24"/>
          <w:szCs w:val="24"/>
        </w:rPr>
        <w:t>FREEDOM OF AS</w:t>
      </w:r>
      <w:r w:rsidR="001666F9" w:rsidRPr="00F33937">
        <w:rPr>
          <w:rFonts w:ascii="Times New Roman" w:hAnsi="Times New Roman" w:cs="Times New Roman"/>
          <w:sz w:val="24"/>
          <w:szCs w:val="24"/>
        </w:rPr>
        <w:t xml:space="preserve">SOCIATION </w:t>
      </w:r>
      <w:r w:rsidR="00791283" w:rsidRPr="00F33937">
        <w:rPr>
          <w:rFonts w:ascii="Times New Roman" w:hAnsi="Times New Roman" w:cs="Times New Roman"/>
          <w:sz w:val="24"/>
          <w:szCs w:val="24"/>
        </w:rPr>
        <w:t>...........</w:t>
      </w:r>
      <w:r w:rsidR="00920069" w:rsidRPr="00F33937">
        <w:rPr>
          <w:rFonts w:ascii="Times New Roman" w:hAnsi="Times New Roman" w:cs="Times New Roman"/>
          <w:sz w:val="24"/>
          <w:szCs w:val="24"/>
        </w:rPr>
        <w:t>.........................................................</w:t>
      </w:r>
      <w:r w:rsidR="000104C5" w:rsidRPr="00F33937">
        <w:rPr>
          <w:rFonts w:ascii="Times New Roman" w:hAnsi="Times New Roman" w:cs="Times New Roman"/>
          <w:sz w:val="24"/>
          <w:szCs w:val="24"/>
        </w:rPr>
        <w:t>.........23</w:t>
      </w:r>
    </w:p>
    <w:p w14:paraId="5ED7DAF6" w14:textId="34F9A3A8" w:rsidR="0068267A" w:rsidRPr="00F33937" w:rsidRDefault="001A15DA" w:rsidP="00C84A09">
      <w:pPr>
        <w:spacing w:after="0" w:line="480" w:lineRule="auto"/>
        <w:contextualSpacing/>
        <w:rPr>
          <w:rFonts w:ascii="Times New Roman" w:hAnsi="Times New Roman" w:cs="Times New Roman"/>
          <w:i/>
          <w:sz w:val="24"/>
          <w:szCs w:val="24"/>
        </w:rPr>
      </w:pPr>
      <w:r w:rsidRPr="00F33937">
        <w:rPr>
          <w:rFonts w:ascii="Times New Roman" w:hAnsi="Times New Roman" w:cs="Times New Roman"/>
          <w:sz w:val="24"/>
          <w:szCs w:val="24"/>
        </w:rPr>
        <w:tab/>
      </w:r>
      <w:r w:rsidRPr="00F33937">
        <w:rPr>
          <w:rFonts w:ascii="Times New Roman" w:hAnsi="Times New Roman" w:cs="Times New Roman"/>
          <w:sz w:val="24"/>
          <w:szCs w:val="24"/>
        </w:rPr>
        <w:tab/>
      </w:r>
      <w:r w:rsidR="0068267A" w:rsidRPr="00F33937">
        <w:rPr>
          <w:rFonts w:ascii="Times New Roman" w:hAnsi="Times New Roman" w:cs="Times New Roman"/>
          <w:i/>
          <w:sz w:val="24"/>
          <w:szCs w:val="24"/>
        </w:rPr>
        <w:t>The State Performed Selective Restitution</w:t>
      </w:r>
      <w:r w:rsidR="00FD2A6E" w:rsidRPr="00F33937">
        <w:rPr>
          <w:rFonts w:ascii="Times New Roman" w:hAnsi="Times New Roman" w:cs="Times New Roman"/>
          <w:sz w:val="24"/>
          <w:szCs w:val="24"/>
        </w:rPr>
        <w:t>.................................................</w:t>
      </w:r>
      <w:r w:rsidR="000104C5" w:rsidRPr="00F33937">
        <w:rPr>
          <w:rFonts w:ascii="Times New Roman" w:hAnsi="Times New Roman" w:cs="Times New Roman"/>
          <w:sz w:val="24"/>
          <w:szCs w:val="24"/>
        </w:rPr>
        <w:t>..</w:t>
      </w:r>
      <w:r w:rsidR="00FD2A6E" w:rsidRPr="00F33937">
        <w:rPr>
          <w:rFonts w:ascii="Times New Roman" w:hAnsi="Times New Roman" w:cs="Times New Roman"/>
          <w:sz w:val="24"/>
          <w:szCs w:val="24"/>
        </w:rPr>
        <w:t>..........</w:t>
      </w:r>
      <w:r w:rsidR="000104C5" w:rsidRPr="00F33937">
        <w:rPr>
          <w:rFonts w:ascii="Times New Roman" w:hAnsi="Times New Roman" w:cs="Times New Roman"/>
          <w:sz w:val="24"/>
          <w:szCs w:val="24"/>
        </w:rPr>
        <w:t>23</w:t>
      </w:r>
    </w:p>
    <w:p w14:paraId="357CFE66" w14:textId="50B711DA" w:rsidR="001A15DA" w:rsidRPr="00F33937" w:rsidRDefault="001A15DA" w:rsidP="00C84A0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lastRenderedPageBreak/>
        <w:tab/>
      </w:r>
      <w:r w:rsidR="00ED6722" w:rsidRPr="00F33937">
        <w:rPr>
          <w:rFonts w:ascii="Times New Roman" w:hAnsi="Times New Roman" w:cs="Times New Roman"/>
          <w:sz w:val="24"/>
          <w:szCs w:val="24"/>
        </w:rPr>
        <w:t>3.7</w:t>
      </w:r>
      <w:r w:rsidR="001666F9" w:rsidRPr="00F33937">
        <w:rPr>
          <w:rFonts w:ascii="Times New Roman" w:hAnsi="Times New Roman" w:cs="Times New Roman"/>
          <w:sz w:val="24"/>
          <w:szCs w:val="24"/>
        </w:rPr>
        <w:t xml:space="preserve"> – </w:t>
      </w:r>
      <w:r w:rsidR="00920069" w:rsidRPr="00F33937">
        <w:rPr>
          <w:rFonts w:ascii="Times New Roman" w:hAnsi="Times New Roman" w:cs="Times New Roman"/>
          <w:sz w:val="24"/>
          <w:szCs w:val="24"/>
        </w:rPr>
        <w:t>FREEDOM OF MOVEM</w:t>
      </w:r>
      <w:r w:rsidR="009835BF" w:rsidRPr="00F33937">
        <w:rPr>
          <w:rFonts w:ascii="Times New Roman" w:hAnsi="Times New Roman" w:cs="Times New Roman"/>
          <w:sz w:val="24"/>
          <w:szCs w:val="24"/>
        </w:rPr>
        <w:t>ENT AND RESIDENCE</w:t>
      </w:r>
      <w:r w:rsidR="00920069" w:rsidRPr="00F33937">
        <w:rPr>
          <w:rFonts w:ascii="Times New Roman" w:hAnsi="Times New Roman" w:cs="Times New Roman"/>
          <w:sz w:val="24"/>
          <w:szCs w:val="24"/>
        </w:rPr>
        <w:t>............</w:t>
      </w:r>
      <w:r w:rsidR="00791283" w:rsidRPr="00F33937">
        <w:rPr>
          <w:rFonts w:ascii="Times New Roman" w:hAnsi="Times New Roman" w:cs="Times New Roman"/>
          <w:sz w:val="24"/>
          <w:szCs w:val="24"/>
        </w:rPr>
        <w:t>...</w:t>
      </w:r>
      <w:r w:rsidR="000104C5" w:rsidRPr="00F33937">
        <w:rPr>
          <w:rFonts w:ascii="Times New Roman" w:hAnsi="Times New Roman" w:cs="Times New Roman"/>
          <w:sz w:val="24"/>
          <w:szCs w:val="24"/>
        </w:rPr>
        <w:t>....</w:t>
      </w:r>
      <w:r w:rsidR="00920069" w:rsidRPr="00F33937">
        <w:rPr>
          <w:rFonts w:ascii="Times New Roman" w:hAnsi="Times New Roman" w:cs="Times New Roman"/>
          <w:sz w:val="24"/>
          <w:szCs w:val="24"/>
        </w:rPr>
        <w:t>..</w:t>
      </w:r>
      <w:r w:rsidR="00215849" w:rsidRPr="00F33937">
        <w:rPr>
          <w:rFonts w:ascii="Times New Roman" w:hAnsi="Times New Roman" w:cs="Times New Roman"/>
          <w:sz w:val="24"/>
          <w:szCs w:val="24"/>
        </w:rPr>
        <w:t>...................</w:t>
      </w:r>
      <w:r w:rsidR="00791283" w:rsidRPr="00F33937">
        <w:rPr>
          <w:rFonts w:ascii="Times New Roman" w:hAnsi="Times New Roman" w:cs="Times New Roman"/>
          <w:sz w:val="24"/>
          <w:szCs w:val="24"/>
        </w:rPr>
        <w:t>...</w:t>
      </w:r>
      <w:r w:rsidR="00920069" w:rsidRPr="00F33937">
        <w:rPr>
          <w:rFonts w:ascii="Times New Roman" w:hAnsi="Times New Roman" w:cs="Times New Roman"/>
          <w:sz w:val="24"/>
          <w:szCs w:val="24"/>
        </w:rPr>
        <w:t>.....</w:t>
      </w:r>
      <w:r w:rsidR="000104C5" w:rsidRPr="00F33937">
        <w:rPr>
          <w:rFonts w:ascii="Times New Roman" w:hAnsi="Times New Roman" w:cs="Times New Roman"/>
          <w:sz w:val="24"/>
          <w:szCs w:val="24"/>
        </w:rPr>
        <w:t>25</w:t>
      </w:r>
    </w:p>
    <w:p w14:paraId="1F84372D" w14:textId="68C7CE97" w:rsidR="00C858A3" w:rsidRPr="00F33937" w:rsidRDefault="001A15DA" w:rsidP="00C84A09">
      <w:pPr>
        <w:spacing w:after="0" w:line="480" w:lineRule="auto"/>
        <w:contextualSpacing/>
        <w:rPr>
          <w:rFonts w:ascii="Times New Roman" w:hAnsi="Times New Roman" w:cs="Times New Roman"/>
          <w:i/>
          <w:sz w:val="24"/>
          <w:szCs w:val="24"/>
        </w:rPr>
      </w:pPr>
      <w:r w:rsidRPr="00F33937">
        <w:rPr>
          <w:rFonts w:ascii="Times New Roman" w:hAnsi="Times New Roman" w:cs="Times New Roman"/>
          <w:sz w:val="24"/>
          <w:szCs w:val="24"/>
        </w:rPr>
        <w:tab/>
      </w:r>
      <w:r w:rsidRPr="00F33937">
        <w:rPr>
          <w:rFonts w:ascii="Times New Roman" w:hAnsi="Times New Roman" w:cs="Times New Roman"/>
          <w:sz w:val="24"/>
          <w:szCs w:val="24"/>
        </w:rPr>
        <w:tab/>
      </w:r>
      <w:r w:rsidR="00F33937" w:rsidRPr="00F33937">
        <w:rPr>
          <w:rFonts w:ascii="Times New Roman" w:hAnsi="Times New Roman" w:cs="Times New Roman"/>
          <w:i/>
          <w:sz w:val="24"/>
          <w:szCs w:val="24"/>
        </w:rPr>
        <w:t xml:space="preserve">State </w:t>
      </w:r>
      <w:r w:rsidR="00C858A3" w:rsidRPr="00F33937">
        <w:rPr>
          <w:rFonts w:ascii="Times New Roman" w:hAnsi="Times New Roman" w:cs="Times New Roman"/>
          <w:i/>
          <w:sz w:val="24"/>
          <w:szCs w:val="24"/>
        </w:rPr>
        <w:t>Military Operations Limited Residents</w:t>
      </w:r>
      <w:r w:rsidR="00FD2A6E" w:rsidRPr="00F33937">
        <w:rPr>
          <w:rFonts w:ascii="Times New Roman" w:hAnsi="Times New Roman" w:cs="Times New Roman"/>
          <w:sz w:val="24"/>
          <w:szCs w:val="24"/>
        </w:rPr>
        <w:t>...............................</w:t>
      </w:r>
      <w:r w:rsidR="00F33937">
        <w:rPr>
          <w:rFonts w:ascii="Times New Roman" w:hAnsi="Times New Roman" w:cs="Times New Roman"/>
          <w:sz w:val="24"/>
          <w:szCs w:val="24"/>
        </w:rPr>
        <w:t>..........</w:t>
      </w:r>
      <w:r w:rsidR="00FD2A6E" w:rsidRPr="00F33937">
        <w:rPr>
          <w:rFonts w:ascii="Times New Roman" w:hAnsi="Times New Roman" w:cs="Times New Roman"/>
          <w:sz w:val="24"/>
          <w:szCs w:val="24"/>
        </w:rPr>
        <w:t>......</w:t>
      </w:r>
      <w:r w:rsidR="000104C5" w:rsidRPr="00F33937">
        <w:rPr>
          <w:rFonts w:ascii="Times New Roman" w:hAnsi="Times New Roman" w:cs="Times New Roman"/>
          <w:sz w:val="24"/>
          <w:szCs w:val="24"/>
        </w:rPr>
        <w:t>.......</w:t>
      </w:r>
      <w:r w:rsidR="00FD2A6E" w:rsidRPr="00F33937">
        <w:rPr>
          <w:rFonts w:ascii="Times New Roman" w:hAnsi="Times New Roman" w:cs="Times New Roman"/>
          <w:sz w:val="24"/>
          <w:szCs w:val="24"/>
        </w:rPr>
        <w:t>...</w:t>
      </w:r>
      <w:r w:rsidR="000104C5" w:rsidRPr="00F33937">
        <w:rPr>
          <w:rFonts w:ascii="Times New Roman" w:hAnsi="Times New Roman" w:cs="Times New Roman"/>
          <w:sz w:val="24"/>
          <w:szCs w:val="24"/>
        </w:rPr>
        <w:t>25</w:t>
      </w:r>
    </w:p>
    <w:p w14:paraId="446A717E" w14:textId="028A90BD" w:rsidR="00920069" w:rsidRPr="00F33937" w:rsidRDefault="001A15DA" w:rsidP="00C84A0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ED6722" w:rsidRPr="00F33937">
        <w:rPr>
          <w:rFonts w:ascii="Times New Roman" w:hAnsi="Times New Roman" w:cs="Times New Roman"/>
          <w:sz w:val="24"/>
          <w:szCs w:val="24"/>
        </w:rPr>
        <w:t>3.8</w:t>
      </w:r>
      <w:r w:rsidR="001666F9" w:rsidRPr="00F33937">
        <w:rPr>
          <w:rFonts w:ascii="Times New Roman" w:hAnsi="Times New Roman" w:cs="Times New Roman"/>
          <w:sz w:val="24"/>
          <w:szCs w:val="24"/>
        </w:rPr>
        <w:t xml:space="preserve"> – </w:t>
      </w:r>
      <w:r w:rsidR="009835BF" w:rsidRPr="00F33937">
        <w:rPr>
          <w:rFonts w:ascii="Times New Roman" w:hAnsi="Times New Roman" w:cs="Times New Roman"/>
          <w:sz w:val="24"/>
          <w:szCs w:val="24"/>
        </w:rPr>
        <w:t xml:space="preserve">RIGHT TO </w:t>
      </w:r>
      <w:r w:rsidR="002B6F5D" w:rsidRPr="00F33937">
        <w:rPr>
          <w:rFonts w:ascii="Times New Roman" w:hAnsi="Times New Roman" w:cs="Times New Roman"/>
          <w:sz w:val="24"/>
          <w:szCs w:val="24"/>
        </w:rPr>
        <w:t>PARTICIPATE IN GOVERNMENT</w:t>
      </w:r>
      <w:r w:rsidR="00920069" w:rsidRPr="00F33937">
        <w:rPr>
          <w:rFonts w:ascii="Times New Roman" w:hAnsi="Times New Roman" w:cs="Times New Roman"/>
          <w:sz w:val="24"/>
          <w:szCs w:val="24"/>
        </w:rPr>
        <w:t>......</w:t>
      </w:r>
      <w:r w:rsidR="00A33851" w:rsidRPr="00F33937">
        <w:rPr>
          <w:rFonts w:ascii="Times New Roman" w:hAnsi="Times New Roman" w:cs="Times New Roman"/>
          <w:sz w:val="24"/>
          <w:szCs w:val="24"/>
        </w:rPr>
        <w:t>............................</w:t>
      </w:r>
      <w:r w:rsidR="00920069" w:rsidRPr="00F33937">
        <w:rPr>
          <w:rFonts w:ascii="Times New Roman" w:hAnsi="Times New Roman" w:cs="Times New Roman"/>
          <w:sz w:val="24"/>
          <w:szCs w:val="24"/>
        </w:rPr>
        <w:t>...............</w:t>
      </w:r>
      <w:r w:rsidR="003C4E63" w:rsidRPr="00F33937">
        <w:rPr>
          <w:rFonts w:ascii="Times New Roman" w:hAnsi="Times New Roman" w:cs="Times New Roman"/>
          <w:sz w:val="24"/>
          <w:szCs w:val="24"/>
        </w:rPr>
        <w:t>.</w:t>
      </w:r>
      <w:r w:rsidR="00791283" w:rsidRPr="00F33937">
        <w:rPr>
          <w:rFonts w:ascii="Times New Roman" w:hAnsi="Times New Roman" w:cs="Times New Roman"/>
          <w:sz w:val="24"/>
          <w:szCs w:val="24"/>
        </w:rPr>
        <w:t>.</w:t>
      </w:r>
      <w:r w:rsidR="003C4E63" w:rsidRPr="00F33937">
        <w:rPr>
          <w:rFonts w:ascii="Times New Roman" w:hAnsi="Times New Roman" w:cs="Times New Roman"/>
          <w:sz w:val="24"/>
          <w:szCs w:val="24"/>
        </w:rPr>
        <w:t>26</w:t>
      </w:r>
    </w:p>
    <w:p w14:paraId="4EE47B75" w14:textId="567DACBA" w:rsidR="00C858A3" w:rsidRPr="00F33937" w:rsidRDefault="001A15DA" w:rsidP="00C84A09">
      <w:pPr>
        <w:spacing w:after="0" w:line="480" w:lineRule="auto"/>
        <w:contextualSpacing/>
        <w:rPr>
          <w:rFonts w:ascii="Times New Roman" w:hAnsi="Times New Roman" w:cs="Times New Roman"/>
          <w:i/>
          <w:sz w:val="24"/>
          <w:szCs w:val="24"/>
        </w:rPr>
      </w:pPr>
      <w:r w:rsidRPr="00F33937">
        <w:rPr>
          <w:rFonts w:ascii="Times New Roman" w:hAnsi="Times New Roman" w:cs="Times New Roman"/>
          <w:sz w:val="24"/>
          <w:szCs w:val="24"/>
        </w:rPr>
        <w:tab/>
      </w:r>
      <w:r w:rsidRPr="00F33937">
        <w:rPr>
          <w:rFonts w:ascii="Times New Roman" w:hAnsi="Times New Roman" w:cs="Times New Roman"/>
          <w:sz w:val="24"/>
          <w:szCs w:val="24"/>
        </w:rPr>
        <w:tab/>
      </w:r>
      <w:r w:rsidR="00C858A3" w:rsidRPr="00F33937">
        <w:rPr>
          <w:rFonts w:ascii="Times New Roman" w:hAnsi="Times New Roman" w:cs="Times New Roman"/>
          <w:i/>
          <w:sz w:val="24"/>
          <w:szCs w:val="24"/>
        </w:rPr>
        <w:t>The State Failed Inter-American Democratic Charter Mandate</w:t>
      </w:r>
      <w:r w:rsidR="00FD2A6E" w:rsidRPr="00F33937">
        <w:rPr>
          <w:rFonts w:ascii="Times New Roman" w:hAnsi="Times New Roman" w:cs="Times New Roman"/>
          <w:sz w:val="24"/>
          <w:szCs w:val="24"/>
        </w:rPr>
        <w:t>.......</w:t>
      </w:r>
      <w:r w:rsidR="003C4E63" w:rsidRPr="00F33937">
        <w:rPr>
          <w:rFonts w:ascii="Times New Roman" w:hAnsi="Times New Roman" w:cs="Times New Roman"/>
          <w:sz w:val="24"/>
          <w:szCs w:val="24"/>
        </w:rPr>
        <w:t>...............</w:t>
      </w:r>
      <w:r w:rsidR="00FD2A6E" w:rsidRPr="00F33937">
        <w:rPr>
          <w:rFonts w:ascii="Times New Roman" w:hAnsi="Times New Roman" w:cs="Times New Roman"/>
          <w:sz w:val="24"/>
          <w:szCs w:val="24"/>
        </w:rPr>
        <w:t>...</w:t>
      </w:r>
      <w:r w:rsidR="003C4E63" w:rsidRPr="00F33937">
        <w:rPr>
          <w:rFonts w:ascii="Times New Roman" w:hAnsi="Times New Roman" w:cs="Times New Roman"/>
          <w:sz w:val="24"/>
          <w:szCs w:val="24"/>
        </w:rPr>
        <w:t>..26</w:t>
      </w:r>
    </w:p>
    <w:p w14:paraId="3F061540" w14:textId="2E583FE7" w:rsidR="002430AA" w:rsidRPr="00F33937" w:rsidRDefault="00B23C75" w:rsidP="00C84A0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4</w:t>
      </w:r>
      <w:r w:rsidR="002430AA" w:rsidRPr="00F33937">
        <w:rPr>
          <w:rFonts w:ascii="Times New Roman" w:hAnsi="Times New Roman" w:cs="Times New Roman"/>
          <w:sz w:val="24"/>
          <w:szCs w:val="24"/>
        </w:rPr>
        <w:t xml:space="preserve"> – REQUEST FOR RELIEF........................................................................................................</w:t>
      </w:r>
      <w:r w:rsidR="003C4E63" w:rsidRPr="00F33937">
        <w:rPr>
          <w:rFonts w:ascii="Times New Roman" w:hAnsi="Times New Roman" w:cs="Times New Roman"/>
          <w:sz w:val="24"/>
          <w:szCs w:val="24"/>
        </w:rPr>
        <w:t>28</w:t>
      </w:r>
    </w:p>
    <w:p w14:paraId="0693B229" w14:textId="77777777" w:rsidR="00F12D61" w:rsidRPr="00F33937" w:rsidRDefault="00F12D61" w:rsidP="00C84A09">
      <w:pPr>
        <w:spacing w:line="480" w:lineRule="auto"/>
        <w:contextualSpacing/>
        <w:rPr>
          <w:rFonts w:ascii="Times New Roman" w:hAnsi="Times New Roman" w:cs="Times New Roman"/>
          <w:sz w:val="24"/>
          <w:szCs w:val="24"/>
        </w:rPr>
      </w:pPr>
    </w:p>
    <w:p w14:paraId="1CA7AF89" w14:textId="6B267122" w:rsidR="00407895" w:rsidRPr="00F33937" w:rsidRDefault="00407895" w:rsidP="00F12D61">
      <w:pPr>
        <w:spacing w:line="480" w:lineRule="auto"/>
        <w:contextualSpacing/>
        <w:jc w:val="center"/>
        <w:rPr>
          <w:rFonts w:ascii="Times New Roman" w:hAnsi="Times New Roman" w:cs="Times New Roman"/>
          <w:sz w:val="24"/>
          <w:szCs w:val="24"/>
          <w:u w:val="single"/>
        </w:rPr>
      </w:pPr>
      <w:r w:rsidRPr="00F33937">
        <w:rPr>
          <w:rFonts w:ascii="Times New Roman" w:hAnsi="Times New Roman" w:cs="Times New Roman"/>
          <w:sz w:val="24"/>
          <w:szCs w:val="24"/>
          <w:u w:val="single"/>
        </w:rPr>
        <w:t>INDEX OF AUTHORITIES</w:t>
      </w:r>
    </w:p>
    <w:p w14:paraId="3CCF25EE" w14:textId="719DDE2E" w:rsidR="00F12D61" w:rsidRPr="00F33937" w:rsidRDefault="00F12D61" w:rsidP="00F12D61">
      <w:pPr>
        <w:spacing w:line="480" w:lineRule="auto"/>
        <w:contextualSpacing/>
        <w:rPr>
          <w:rFonts w:ascii="Times New Roman" w:hAnsi="Times New Roman" w:cs="Times New Roman"/>
          <w:b/>
          <w:sz w:val="24"/>
          <w:szCs w:val="24"/>
        </w:rPr>
      </w:pPr>
      <w:r w:rsidRPr="00F33937">
        <w:rPr>
          <w:rFonts w:ascii="Times New Roman" w:hAnsi="Times New Roman" w:cs="Times New Roman"/>
          <w:b/>
          <w:sz w:val="24"/>
          <w:szCs w:val="24"/>
        </w:rPr>
        <w:t>Legal Books and Articles</w:t>
      </w:r>
    </w:p>
    <w:p w14:paraId="0898669A" w14:textId="1A952187" w:rsidR="00D055D4" w:rsidRPr="00F33937" w:rsidRDefault="00F11155" w:rsidP="00D055D4">
      <w:pPr>
        <w:spacing w:after="0" w:line="240" w:lineRule="auto"/>
        <w:contextualSpacing/>
        <w:rPr>
          <w:rFonts w:ascii="Times New Roman" w:hAnsi="Times New Roman" w:cs="Times New Roman"/>
          <w:sz w:val="24"/>
          <w:szCs w:val="24"/>
        </w:rPr>
      </w:pPr>
      <w:r w:rsidRPr="00F33937">
        <w:rPr>
          <w:rFonts w:ascii="Times New Roman" w:hAnsi="Times New Roman" w:cs="Times New Roman"/>
          <w:sz w:val="24"/>
          <w:szCs w:val="24"/>
        </w:rPr>
        <w:t>Access to Justice as a Guarantee of Economic</w:t>
      </w:r>
      <w:r w:rsidR="00A70C3B" w:rsidRPr="00F33937">
        <w:rPr>
          <w:rFonts w:ascii="Times New Roman" w:hAnsi="Times New Roman" w:cs="Times New Roman"/>
          <w:sz w:val="24"/>
          <w:szCs w:val="24"/>
        </w:rPr>
        <w:t xml:space="preserve">, Social, and Cultural Rights. </w:t>
      </w:r>
      <w:r w:rsidRPr="00F33937">
        <w:rPr>
          <w:rFonts w:ascii="Times New Roman" w:hAnsi="Times New Roman" w:cs="Times New Roman"/>
          <w:sz w:val="24"/>
          <w:szCs w:val="24"/>
        </w:rPr>
        <w:t>A Review of the Standards Adopted by the Inter</w:t>
      </w:r>
      <w:r w:rsidR="00856EC9" w:rsidRPr="00F33937">
        <w:rPr>
          <w:rFonts w:ascii="Times New Roman" w:hAnsi="Times New Roman" w:cs="Times New Roman"/>
          <w:sz w:val="24"/>
          <w:szCs w:val="24"/>
        </w:rPr>
        <w:t>-American System of Human Rights</w:t>
      </w:r>
      <w:r w:rsidRPr="00F33937">
        <w:rPr>
          <w:rFonts w:ascii="Times New Roman" w:hAnsi="Times New Roman" w:cs="Times New Roman"/>
          <w:sz w:val="24"/>
          <w:szCs w:val="24"/>
        </w:rPr>
        <w:t>....</w:t>
      </w:r>
      <w:r w:rsidR="00856EC9" w:rsidRPr="00F33937">
        <w:rPr>
          <w:rFonts w:ascii="Times New Roman" w:hAnsi="Times New Roman" w:cs="Times New Roman"/>
          <w:sz w:val="24"/>
          <w:szCs w:val="24"/>
        </w:rPr>
        <w:t>............</w:t>
      </w:r>
      <w:r w:rsidR="00BC14CA" w:rsidRPr="00F33937">
        <w:rPr>
          <w:rFonts w:ascii="Times New Roman" w:hAnsi="Times New Roman" w:cs="Times New Roman"/>
          <w:sz w:val="24"/>
          <w:szCs w:val="24"/>
        </w:rPr>
        <w:t>.</w:t>
      </w:r>
      <w:r w:rsidR="00856EC9" w:rsidRPr="00F33937">
        <w:rPr>
          <w:rFonts w:ascii="Times New Roman" w:hAnsi="Times New Roman" w:cs="Times New Roman"/>
          <w:sz w:val="24"/>
          <w:szCs w:val="24"/>
        </w:rPr>
        <w:t>...</w:t>
      </w:r>
      <w:r w:rsidRPr="00F33937">
        <w:rPr>
          <w:rFonts w:ascii="Times New Roman" w:hAnsi="Times New Roman" w:cs="Times New Roman"/>
          <w:sz w:val="24"/>
          <w:szCs w:val="24"/>
        </w:rPr>
        <w:t>.......</w:t>
      </w:r>
      <w:r w:rsidR="00BC14CA" w:rsidRPr="00F33937">
        <w:rPr>
          <w:rFonts w:ascii="Times New Roman" w:hAnsi="Times New Roman" w:cs="Times New Roman"/>
          <w:sz w:val="24"/>
          <w:szCs w:val="24"/>
        </w:rPr>
        <w:t xml:space="preserve">8, </w:t>
      </w:r>
      <w:r w:rsidR="00856EC9" w:rsidRPr="00F33937">
        <w:rPr>
          <w:rFonts w:ascii="Times New Roman" w:hAnsi="Times New Roman" w:cs="Times New Roman"/>
          <w:sz w:val="24"/>
          <w:szCs w:val="24"/>
        </w:rPr>
        <w:t xml:space="preserve">17, </w:t>
      </w:r>
      <w:r w:rsidRPr="00F33937">
        <w:rPr>
          <w:rFonts w:ascii="Times New Roman" w:hAnsi="Times New Roman" w:cs="Times New Roman"/>
          <w:sz w:val="24"/>
          <w:szCs w:val="24"/>
        </w:rPr>
        <w:t>18</w:t>
      </w:r>
      <w:r w:rsidR="00856EC9" w:rsidRPr="00F33937">
        <w:rPr>
          <w:rFonts w:ascii="Times New Roman" w:hAnsi="Times New Roman" w:cs="Times New Roman"/>
          <w:sz w:val="24"/>
          <w:szCs w:val="24"/>
        </w:rPr>
        <w:t>, 30</w:t>
      </w:r>
    </w:p>
    <w:p w14:paraId="4DBCA409" w14:textId="59A4D4AC" w:rsidR="0056210C" w:rsidRPr="00F33937" w:rsidRDefault="0056210C" w:rsidP="00D055D4">
      <w:pPr>
        <w:spacing w:after="0" w:line="240" w:lineRule="auto"/>
        <w:contextualSpacing/>
        <w:rPr>
          <w:rFonts w:ascii="Times New Roman" w:hAnsi="Times New Roman" w:cs="Times New Roman"/>
          <w:sz w:val="24"/>
          <w:szCs w:val="24"/>
        </w:rPr>
      </w:pPr>
      <w:r w:rsidRPr="00F33937">
        <w:rPr>
          <w:rFonts w:ascii="Times New Roman" w:hAnsi="Times New Roman" w:cs="Times New Roman"/>
          <w:sz w:val="24"/>
          <w:szCs w:val="24"/>
        </w:rPr>
        <w:t xml:space="preserve"> </w:t>
      </w:r>
    </w:p>
    <w:p w14:paraId="7B0F1601" w14:textId="0579E084" w:rsidR="00C83BCA" w:rsidRPr="00F33937" w:rsidRDefault="00C83BCA" w:rsidP="00F12D61">
      <w:pPr>
        <w:spacing w:line="480" w:lineRule="auto"/>
        <w:contextualSpacing/>
        <w:rPr>
          <w:rFonts w:ascii="Times New Roman" w:hAnsi="Times New Roman" w:cs="Times New Roman"/>
          <w:sz w:val="24"/>
          <w:szCs w:val="24"/>
        </w:rPr>
      </w:pPr>
      <w:r w:rsidRPr="00F33937">
        <w:rPr>
          <w:rFonts w:ascii="Times New Roman" w:hAnsi="Times New Roman" w:cs="Times New Roman"/>
          <w:sz w:val="24"/>
        </w:rPr>
        <w:t>Basic Principles of IHL</w:t>
      </w:r>
      <w:r w:rsidRPr="00F33937">
        <w:rPr>
          <w:rFonts w:ascii="Times New Roman" w:hAnsi="Times New Roman" w:cs="Times New Roman"/>
          <w:sz w:val="24"/>
          <w:szCs w:val="24"/>
        </w:rPr>
        <w:t>....................................................................................................</w:t>
      </w:r>
      <w:r w:rsidR="00B2147C" w:rsidRPr="00F33937">
        <w:rPr>
          <w:rFonts w:ascii="Times New Roman" w:hAnsi="Times New Roman" w:cs="Times New Roman"/>
          <w:sz w:val="24"/>
          <w:szCs w:val="24"/>
        </w:rPr>
        <w:t>........</w:t>
      </w:r>
      <w:r w:rsidR="000E554E" w:rsidRPr="00F33937">
        <w:rPr>
          <w:rFonts w:ascii="Times New Roman" w:hAnsi="Times New Roman" w:cs="Times New Roman"/>
          <w:sz w:val="24"/>
          <w:szCs w:val="24"/>
        </w:rPr>
        <w:t>.....23</w:t>
      </w:r>
    </w:p>
    <w:p w14:paraId="61394497" w14:textId="43C3507D" w:rsidR="002D6DD8" w:rsidRPr="00F33937" w:rsidRDefault="002D6DD8" w:rsidP="00F12D61">
      <w:pPr>
        <w:spacing w:line="480" w:lineRule="auto"/>
        <w:contextualSpacing/>
        <w:rPr>
          <w:rFonts w:ascii="Times New Roman" w:hAnsi="Times New Roman" w:cs="Times New Roman"/>
          <w:sz w:val="24"/>
          <w:szCs w:val="24"/>
        </w:rPr>
      </w:pPr>
      <w:r w:rsidRPr="00F33937">
        <w:rPr>
          <w:rFonts w:ascii="Times New Roman" w:hAnsi="Times New Roman" w:cs="Times New Roman"/>
          <w:sz w:val="24"/>
        </w:rPr>
        <w:t>Freedom Fighters and Rebels:  The Rules of Civil War</w:t>
      </w:r>
      <w:r w:rsidR="00A70C3B" w:rsidRPr="00F33937">
        <w:rPr>
          <w:rFonts w:ascii="Times New Roman" w:hAnsi="Times New Roman" w:cs="Times New Roman"/>
          <w:sz w:val="24"/>
        </w:rPr>
        <w:t xml:space="preserve"> [2002]</w:t>
      </w:r>
      <w:r w:rsidRPr="00F33937">
        <w:rPr>
          <w:rFonts w:ascii="Times New Roman" w:hAnsi="Times New Roman" w:cs="Times New Roman"/>
          <w:sz w:val="24"/>
          <w:szCs w:val="24"/>
        </w:rPr>
        <w:t>......................</w:t>
      </w:r>
      <w:r w:rsidR="003108B4" w:rsidRPr="00F33937">
        <w:rPr>
          <w:rFonts w:ascii="Times New Roman" w:hAnsi="Times New Roman" w:cs="Times New Roman"/>
          <w:sz w:val="24"/>
          <w:szCs w:val="24"/>
        </w:rPr>
        <w:t>.</w:t>
      </w:r>
      <w:r w:rsidRPr="00F33937">
        <w:rPr>
          <w:rFonts w:ascii="Times New Roman" w:hAnsi="Times New Roman" w:cs="Times New Roman"/>
          <w:sz w:val="24"/>
          <w:szCs w:val="24"/>
        </w:rPr>
        <w:t>..................</w:t>
      </w:r>
      <w:r w:rsidR="00A70C3B" w:rsidRPr="00F33937">
        <w:rPr>
          <w:rFonts w:ascii="Times New Roman" w:hAnsi="Times New Roman" w:cs="Times New Roman"/>
          <w:sz w:val="24"/>
          <w:szCs w:val="24"/>
        </w:rPr>
        <w:t>....</w:t>
      </w:r>
      <w:r w:rsidRPr="00F33937">
        <w:rPr>
          <w:rFonts w:ascii="Times New Roman" w:hAnsi="Times New Roman" w:cs="Times New Roman"/>
          <w:sz w:val="24"/>
          <w:szCs w:val="24"/>
        </w:rPr>
        <w:t>.......23</w:t>
      </w:r>
    </w:p>
    <w:p w14:paraId="3E98BE68" w14:textId="769F05A6" w:rsidR="00AD0AB2" w:rsidRPr="00F33937" w:rsidRDefault="00AD0AB2" w:rsidP="00D055D4">
      <w:pPr>
        <w:spacing w:after="0" w:line="240" w:lineRule="auto"/>
        <w:rPr>
          <w:rFonts w:ascii="Times New Roman" w:hAnsi="Times New Roman" w:cs="Times New Roman"/>
          <w:sz w:val="24"/>
          <w:szCs w:val="24"/>
        </w:rPr>
      </w:pPr>
      <w:r w:rsidRPr="00F33937">
        <w:rPr>
          <w:rFonts w:ascii="Times New Roman" w:hAnsi="Times New Roman" w:cs="Times New Roman"/>
          <w:sz w:val="24"/>
          <w:szCs w:val="20"/>
        </w:rPr>
        <w:t>Law and Petroleum Industry in Nigeria: Current Challenges: Essays in Honour of Justice Kate Abiri</w:t>
      </w:r>
      <w:r w:rsidR="004306BB" w:rsidRPr="00F33937">
        <w:rPr>
          <w:rFonts w:ascii="Times New Roman" w:hAnsi="Times New Roman" w:cs="Times New Roman"/>
          <w:sz w:val="24"/>
          <w:szCs w:val="20"/>
        </w:rPr>
        <w:t xml:space="preserve"> [2009]</w:t>
      </w:r>
      <w:r w:rsidR="004306BB" w:rsidRPr="00F33937">
        <w:rPr>
          <w:rFonts w:ascii="Times New Roman" w:hAnsi="Times New Roman" w:cs="Times New Roman"/>
          <w:sz w:val="24"/>
          <w:szCs w:val="24"/>
        </w:rPr>
        <w:t>.........</w:t>
      </w:r>
      <w:r w:rsidRPr="00F33937">
        <w:rPr>
          <w:rFonts w:ascii="Times New Roman" w:hAnsi="Times New Roman" w:cs="Times New Roman"/>
          <w:sz w:val="24"/>
          <w:szCs w:val="24"/>
        </w:rPr>
        <w:t>............................................................................................</w:t>
      </w:r>
      <w:r w:rsidR="00BC14CA" w:rsidRPr="00F33937">
        <w:rPr>
          <w:rFonts w:ascii="Times New Roman" w:hAnsi="Times New Roman" w:cs="Times New Roman"/>
          <w:sz w:val="24"/>
          <w:szCs w:val="24"/>
        </w:rPr>
        <w:t>..............................13</w:t>
      </w:r>
    </w:p>
    <w:p w14:paraId="4C6858C9" w14:textId="77777777" w:rsidR="00D055D4" w:rsidRPr="00F33937" w:rsidRDefault="00D055D4" w:rsidP="00D055D4">
      <w:pPr>
        <w:spacing w:after="0" w:line="240" w:lineRule="auto"/>
        <w:rPr>
          <w:rFonts w:ascii="Times New Roman" w:hAnsi="Times New Roman" w:cs="Times New Roman"/>
          <w:sz w:val="32"/>
          <w:szCs w:val="24"/>
        </w:rPr>
      </w:pPr>
    </w:p>
    <w:p w14:paraId="170A1113" w14:textId="5E57B3AB" w:rsidR="004C5902" w:rsidRPr="00F33937" w:rsidRDefault="00DC17D5" w:rsidP="00F12D61">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Partly Laws Common to All Mankind</w:t>
      </w:r>
      <w:r w:rsidR="00044156" w:rsidRPr="00F33937">
        <w:rPr>
          <w:rFonts w:ascii="Times New Roman" w:hAnsi="Times New Roman" w:cs="Times New Roman"/>
          <w:sz w:val="24"/>
          <w:szCs w:val="24"/>
        </w:rPr>
        <w:t>:  Foreign Law in American Courts</w:t>
      </w:r>
      <w:r w:rsidR="005E267D" w:rsidRPr="00F33937">
        <w:rPr>
          <w:rFonts w:ascii="Times New Roman" w:hAnsi="Times New Roman" w:cs="Times New Roman"/>
          <w:sz w:val="24"/>
          <w:szCs w:val="24"/>
        </w:rPr>
        <w:t xml:space="preserve"> [2012].</w:t>
      </w:r>
      <w:r w:rsidR="00044156" w:rsidRPr="00F33937">
        <w:rPr>
          <w:rFonts w:ascii="Times New Roman" w:hAnsi="Times New Roman" w:cs="Times New Roman"/>
          <w:sz w:val="24"/>
          <w:szCs w:val="24"/>
        </w:rPr>
        <w:t>.......</w:t>
      </w:r>
      <w:r w:rsidR="003C6D91" w:rsidRPr="00F33937">
        <w:rPr>
          <w:rFonts w:ascii="Times New Roman" w:hAnsi="Times New Roman" w:cs="Times New Roman"/>
          <w:sz w:val="24"/>
          <w:szCs w:val="24"/>
        </w:rPr>
        <w:t>...............</w:t>
      </w:r>
      <w:r w:rsidR="00BC14CA" w:rsidRPr="00F33937">
        <w:rPr>
          <w:rFonts w:ascii="Times New Roman" w:hAnsi="Times New Roman" w:cs="Times New Roman"/>
          <w:sz w:val="24"/>
          <w:szCs w:val="24"/>
        </w:rPr>
        <w:t>..7</w:t>
      </w:r>
    </w:p>
    <w:p w14:paraId="71101033" w14:textId="77777777" w:rsidR="004C5902" w:rsidRPr="00F33937" w:rsidRDefault="004C5902" w:rsidP="004C5902">
      <w:pPr>
        <w:pStyle w:val="FootnoteText"/>
        <w:rPr>
          <w:rFonts w:cs="Times New Roman"/>
          <w:sz w:val="24"/>
          <w:szCs w:val="24"/>
        </w:rPr>
      </w:pPr>
      <w:r w:rsidRPr="00F33937">
        <w:rPr>
          <w:sz w:val="24"/>
        </w:rPr>
        <w:t>The Inter-American Legal Analysis:  The 13 Principles and the Inter-American System for the Protection of Human Rights</w:t>
      </w:r>
      <w:r w:rsidRPr="00F33937">
        <w:rPr>
          <w:rFonts w:cs="Times New Roman"/>
          <w:sz w:val="24"/>
          <w:szCs w:val="24"/>
        </w:rPr>
        <w:t>.....................................................................................................19, 20</w:t>
      </w:r>
    </w:p>
    <w:p w14:paraId="0E9941CB" w14:textId="77777777" w:rsidR="00D50A8C" w:rsidRPr="00F33937" w:rsidRDefault="00D50A8C" w:rsidP="00D50A8C">
      <w:pPr>
        <w:spacing w:after="0" w:line="240" w:lineRule="auto"/>
        <w:contextualSpacing/>
        <w:rPr>
          <w:rStyle w:val="Strong"/>
          <w:rFonts w:ascii="Times New Roman" w:hAnsi="Times New Roman" w:cs="Times New Roman"/>
          <w:b w:val="0"/>
          <w:sz w:val="24"/>
          <w:shd w:val="clear" w:color="auto" w:fill="FFFFFF"/>
        </w:rPr>
      </w:pPr>
    </w:p>
    <w:p w14:paraId="329E6BB6" w14:textId="24AB1197" w:rsidR="00A345FD" w:rsidRPr="00F33937" w:rsidRDefault="00D50A8C" w:rsidP="00D50A8C">
      <w:pPr>
        <w:spacing w:after="0" w:line="240" w:lineRule="auto"/>
        <w:contextualSpacing/>
        <w:rPr>
          <w:rFonts w:ascii="Times New Roman" w:hAnsi="Times New Roman" w:cs="Times New Roman"/>
          <w:sz w:val="24"/>
          <w:szCs w:val="24"/>
        </w:rPr>
      </w:pPr>
      <w:r w:rsidRPr="00F33937">
        <w:rPr>
          <w:rStyle w:val="Strong"/>
          <w:rFonts w:ascii="Times New Roman" w:hAnsi="Times New Roman" w:cs="Times New Roman"/>
          <w:b w:val="0"/>
          <w:sz w:val="24"/>
          <w:shd w:val="clear" w:color="auto" w:fill="FFFFFF"/>
        </w:rPr>
        <w:t>The Office of the Specia</w:t>
      </w:r>
      <w:r w:rsidR="00D77259" w:rsidRPr="00F33937">
        <w:rPr>
          <w:rStyle w:val="Strong"/>
          <w:rFonts w:ascii="Times New Roman" w:hAnsi="Times New Roman" w:cs="Times New Roman"/>
          <w:b w:val="0"/>
          <w:sz w:val="24"/>
          <w:shd w:val="clear" w:color="auto" w:fill="FFFFFF"/>
        </w:rPr>
        <w:t>l Rapporteur Expresses Concern o</w:t>
      </w:r>
      <w:r w:rsidRPr="00F33937">
        <w:rPr>
          <w:rStyle w:val="Strong"/>
          <w:rFonts w:ascii="Times New Roman" w:hAnsi="Times New Roman" w:cs="Times New Roman"/>
          <w:b w:val="0"/>
          <w:sz w:val="24"/>
          <w:shd w:val="clear" w:color="auto" w:fill="FFFFFF"/>
        </w:rPr>
        <w:t>ver the Acquisition and Implementation of Surveillance Programs by States of the Hemisphere [2015]</w:t>
      </w:r>
      <w:r w:rsidRPr="00F33937">
        <w:rPr>
          <w:rFonts w:ascii="Times New Roman" w:hAnsi="Times New Roman" w:cs="Times New Roman"/>
          <w:sz w:val="24"/>
          <w:szCs w:val="24"/>
        </w:rPr>
        <w:t xml:space="preserve"> ..........................20</w:t>
      </w:r>
    </w:p>
    <w:p w14:paraId="51CE8347" w14:textId="77777777" w:rsidR="00D77259" w:rsidRPr="00F33937" w:rsidRDefault="00D77259" w:rsidP="00D50A8C">
      <w:pPr>
        <w:spacing w:after="0" w:line="240" w:lineRule="auto"/>
        <w:contextualSpacing/>
        <w:rPr>
          <w:rStyle w:val="Strong"/>
          <w:rFonts w:ascii="Times New Roman" w:hAnsi="Times New Roman" w:cs="Times New Roman"/>
          <w:b w:val="0"/>
          <w:sz w:val="24"/>
          <w:shd w:val="clear" w:color="auto" w:fill="FFFFFF"/>
        </w:rPr>
      </w:pPr>
    </w:p>
    <w:p w14:paraId="7C26174E" w14:textId="77777777" w:rsidR="00D50A8C" w:rsidRPr="00F33937" w:rsidRDefault="00D50A8C" w:rsidP="00D50A8C">
      <w:pPr>
        <w:spacing w:after="0" w:line="240" w:lineRule="auto"/>
        <w:contextualSpacing/>
        <w:rPr>
          <w:rFonts w:ascii="Times New Roman" w:hAnsi="Times New Roman" w:cs="Times New Roman"/>
          <w:b/>
          <w:sz w:val="28"/>
          <w:szCs w:val="24"/>
        </w:rPr>
      </w:pPr>
    </w:p>
    <w:p w14:paraId="6BA24EEA" w14:textId="668660B3" w:rsidR="00D449B3" w:rsidRPr="00F33937" w:rsidRDefault="00D449B3" w:rsidP="00F12D61">
      <w:pPr>
        <w:spacing w:line="480" w:lineRule="auto"/>
        <w:contextualSpacing/>
        <w:rPr>
          <w:rFonts w:ascii="Times New Roman" w:hAnsi="Times New Roman" w:cs="Times New Roman"/>
          <w:b/>
          <w:sz w:val="24"/>
          <w:szCs w:val="24"/>
        </w:rPr>
      </w:pPr>
      <w:r w:rsidRPr="00F33937">
        <w:rPr>
          <w:rFonts w:ascii="Times New Roman" w:hAnsi="Times New Roman" w:cs="Times New Roman"/>
          <w:b/>
          <w:sz w:val="24"/>
          <w:szCs w:val="24"/>
        </w:rPr>
        <w:t>Other Articles</w:t>
      </w:r>
    </w:p>
    <w:p w14:paraId="1422F344" w14:textId="6A10CFCE" w:rsidR="00762904" w:rsidRPr="00F33937" w:rsidRDefault="00762904" w:rsidP="00E57DEC">
      <w:pPr>
        <w:spacing w:after="0" w:line="240" w:lineRule="auto"/>
        <w:contextualSpacing/>
        <w:rPr>
          <w:rFonts w:ascii="Times New Roman" w:hAnsi="Times New Roman" w:cs="Times New Roman"/>
          <w:sz w:val="24"/>
          <w:szCs w:val="24"/>
        </w:rPr>
      </w:pPr>
      <w:r w:rsidRPr="00F33937">
        <w:rPr>
          <w:rFonts w:ascii="Times New Roman" w:hAnsi="Times New Roman" w:cs="Times New Roman"/>
          <w:sz w:val="24"/>
          <w:szCs w:val="20"/>
        </w:rPr>
        <w:t>Confirming Rights:  Inter-American Court Ruling Marks Key Victory for Sarayaku People in Ecuador</w:t>
      </w:r>
      <w:r w:rsidRPr="00F33937">
        <w:rPr>
          <w:rFonts w:ascii="Times New Roman" w:hAnsi="Times New Roman" w:cs="Times New Roman"/>
          <w:sz w:val="24"/>
          <w:szCs w:val="24"/>
        </w:rPr>
        <w:t>..........................................................................................................................................</w:t>
      </w:r>
      <w:r w:rsidR="00EF1B12" w:rsidRPr="00F33937">
        <w:rPr>
          <w:rFonts w:ascii="Times New Roman" w:hAnsi="Times New Roman" w:cs="Times New Roman"/>
          <w:sz w:val="24"/>
          <w:szCs w:val="24"/>
        </w:rPr>
        <w:t>14</w:t>
      </w:r>
    </w:p>
    <w:p w14:paraId="134EAB59" w14:textId="77777777" w:rsidR="00E57DEC" w:rsidRPr="00F33937" w:rsidRDefault="00E57DEC" w:rsidP="00E57DEC">
      <w:pPr>
        <w:spacing w:after="0" w:line="240" w:lineRule="auto"/>
        <w:contextualSpacing/>
        <w:rPr>
          <w:rFonts w:ascii="Times New Roman" w:hAnsi="Times New Roman" w:cs="Times New Roman"/>
          <w:sz w:val="32"/>
          <w:szCs w:val="24"/>
        </w:rPr>
      </w:pPr>
    </w:p>
    <w:p w14:paraId="0E0164D8" w14:textId="05F35228" w:rsidR="00D449B3" w:rsidRPr="00F33937" w:rsidRDefault="00D449B3" w:rsidP="00F12D61">
      <w:pPr>
        <w:spacing w:line="480" w:lineRule="auto"/>
        <w:contextualSpacing/>
        <w:rPr>
          <w:rFonts w:ascii="Times New Roman" w:hAnsi="Times New Roman" w:cs="Times New Roman"/>
          <w:b/>
          <w:sz w:val="24"/>
          <w:szCs w:val="24"/>
        </w:rPr>
      </w:pPr>
      <w:r w:rsidRPr="00F33937">
        <w:rPr>
          <w:rFonts w:ascii="Times New Roman" w:hAnsi="Times New Roman" w:cs="Times New Roman"/>
          <w:sz w:val="24"/>
          <w:szCs w:val="24"/>
        </w:rPr>
        <w:t>Seeing through Soil with Sound</w:t>
      </w:r>
      <w:r w:rsidR="00D77259" w:rsidRPr="00F33937">
        <w:rPr>
          <w:rFonts w:ascii="Times New Roman" w:hAnsi="Times New Roman" w:cs="Times New Roman"/>
          <w:sz w:val="24"/>
          <w:szCs w:val="24"/>
        </w:rPr>
        <w:t xml:space="preserve"> [2000]</w:t>
      </w:r>
      <w:r w:rsidR="00F11613" w:rsidRPr="00F33937">
        <w:rPr>
          <w:rFonts w:ascii="Times New Roman" w:hAnsi="Times New Roman" w:cs="Times New Roman"/>
          <w:sz w:val="24"/>
          <w:szCs w:val="24"/>
        </w:rPr>
        <w:t>......................................................................</w:t>
      </w:r>
      <w:r w:rsidR="00D77259" w:rsidRPr="00F33937">
        <w:rPr>
          <w:rFonts w:ascii="Times New Roman" w:hAnsi="Times New Roman" w:cs="Times New Roman"/>
          <w:sz w:val="24"/>
          <w:szCs w:val="24"/>
        </w:rPr>
        <w:t>............</w:t>
      </w:r>
      <w:r w:rsidR="00F11613" w:rsidRPr="00F33937">
        <w:rPr>
          <w:rFonts w:ascii="Times New Roman" w:hAnsi="Times New Roman" w:cs="Times New Roman"/>
          <w:sz w:val="24"/>
          <w:szCs w:val="24"/>
        </w:rPr>
        <w:t>.......</w:t>
      </w:r>
      <w:r w:rsidR="002A0A2A" w:rsidRPr="00F33937">
        <w:rPr>
          <w:rFonts w:ascii="Times New Roman" w:hAnsi="Times New Roman" w:cs="Times New Roman"/>
          <w:sz w:val="24"/>
          <w:szCs w:val="24"/>
        </w:rPr>
        <w:t>20</w:t>
      </w:r>
    </w:p>
    <w:p w14:paraId="2201065A" w14:textId="77777777" w:rsidR="00EF1B12" w:rsidRPr="00F33937" w:rsidRDefault="00EF1B12" w:rsidP="00407895">
      <w:pPr>
        <w:spacing w:line="480" w:lineRule="auto"/>
        <w:contextualSpacing/>
        <w:rPr>
          <w:rFonts w:ascii="Times New Roman" w:hAnsi="Times New Roman" w:cs="Times New Roman"/>
          <w:b/>
          <w:sz w:val="24"/>
          <w:szCs w:val="24"/>
        </w:rPr>
      </w:pPr>
    </w:p>
    <w:p w14:paraId="1C5D6F7B" w14:textId="77777777" w:rsidR="00EF1B12" w:rsidRPr="00F33937" w:rsidRDefault="00EF1B12" w:rsidP="00407895">
      <w:pPr>
        <w:spacing w:line="480" w:lineRule="auto"/>
        <w:contextualSpacing/>
        <w:rPr>
          <w:rFonts w:ascii="Times New Roman" w:hAnsi="Times New Roman" w:cs="Times New Roman"/>
          <w:b/>
          <w:sz w:val="24"/>
          <w:szCs w:val="24"/>
        </w:rPr>
      </w:pPr>
    </w:p>
    <w:p w14:paraId="6805CF71" w14:textId="77777777" w:rsidR="000921BC" w:rsidRPr="00F33937" w:rsidRDefault="000921BC" w:rsidP="00407895">
      <w:pPr>
        <w:spacing w:line="480" w:lineRule="auto"/>
        <w:contextualSpacing/>
        <w:rPr>
          <w:rFonts w:ascii="Times New Roman" w:hAnsi="Times New Roman" w:cs="Times New Roman"/>
          <w:b/>
          <w:sz w:val="24"/>
          <w:szCs w:val="24"/>
        </w:rPr>
      </w:pPr>
      <w:r w:rsidRPr="00F33937">
        <w:rPr>
          <w:rFonts w:ascii="Times New Roman" w:hAnsi="Times New Roman" w:cs="Times New Roman"/>
          <w:b/>
          <w:sz w:val="24"/>
          <w:szCs w:val="24"/>
        </w:rPr>
        <w:lastRenderedPageBreak/>
        <w:t>Treaties and other International Agreements</w:t>
      </w:r>
    </w:p>
    <w:p w14:paraId="41F4167D" w14:textId="43E4A658" w:rsidR="00840E20" w:rsidRPr="00F33937" w:rsidRDefault="008E37D8" w:rsidP="00840E20">
      <w:pPr>
        <w:contextualSpacing/>
        <w:rPr>
          <w:rFonts w:ascii="Times New Roman" w:hAnsi="Times New Roman" w:cs="Times New Roman"/>
          <w:sz w:val="24"/>
          <w:szCs w:val="24"/>
        </w:rPr>
      </w:pPr>
      <w:r w:rsidRPr="00F33937">
        <w:rPr>
          <w:rFonts w:ascii="Times New Roman" w:hAnsi="Times New Roman" w:cs="Times New Roman"/>
          <w:sz w:val="24"/>
          <w:szCs w:val="24"/>
        </w:rPr>
        <w:t xml:space="preserve">American Convention on Human </w:t>
      </w:r>
      <w:r w:rsidR="00407895" w:rsidRPr="00F33937">
        <w:rPr>
          <w:rFonts w:ascii="Times New Roman" w:hAnsi="Times New Roman" w:cs="Times New Roman"/>
          <w:sz w:val="24"/>
          <w:szCs w:val="24"/>
        </w:rPr>
        <w:t>Rights</w:t>
      </w:r>
      <w:r w:rsidR="002D6206" w:rsidRPr="00F33937">
        <w:rPr>
          <w:rFonts w:ascii="Times New Roman" w:hAnsi="Times New Roman" w:cs="Times New Roman"/>
          <w:sz w:val="24"/>
          <w:szCs w:val="24"/>
        </w:rPr>
        <w:t xml:space="preserve"> 1969</w:t>
      </w:r>
      <w:r w:rsidR="00407895" w:rsidRPr="00F33937">
        <w:rPr>
          <w:rFonts w:ascii="Times New Roman" w:hAnsi="Times New Roman" w:cs="Times New Roman"/>
          <w:sz w:val="24"/>
          <w:szCs w:val="24"/>
        </w:rPr>
        <w:t>.....................................................</w:t>
      </w:r>
      <w:r w:rsidR="009256B9" w:rsidRPr="00F33937">
        <w:rPr>
          <w:rFonts w:ascii="Times New Roman" w:hAnsi="Times New Roman" w:cs="Times New Roman"/>
          <w:sz w:val="24"/>
          <w:szCs w:val="24"/>
        </w:rPr>
        <w:t>..............</w:t>
      </w:r>
      <w:r w:rsidR="001023D7" w:rsidRPr="00F33937">
        <w:rPr>
          <w:rFonts w:ascii="Times New Roman" w:hAnsi="Times New Roman" w:cs="Times New Roman"/>
          <w:sz w:val="24"/>
          <w:szCs w:val="24"/>
        </w:rPr>
        <w:t>....passim</w:t>
      </w:r>
    </w:p>
    <w:p w14:paraId="4C0F9D97" w14:textId="77777777" w:rsidR="00840E20" w:rsidRPr="00F33937" w:rsidRDefault="00840E20" w:rsidP="00840E20">
      <w:pPr>
        <w:contextualSpacing/>
        <w:rPr>
          <w:rFonts w:ascii="Times New Roman" w:hAnsi="Times New Roman" w:cs="Times New Roman"/>
          <w:sz w:val="24"/>
          <w:szCs w:val="24"/>
        </w:rPr>
      </w:pPr>
    </w:p>
    <w:p w14:paraId="0E1D7E14" w14:textId="41BFBD8B" w:rsidR="00840E20" w:rsidRPr="00F33937" w:rsidRDefault="00840E20" w:rsidP="00840E20">
      <w:pPr>
        <w:contextualSpacing/>
        <w:rPr>
          <w:rFonts w:ascii="Times New Roman" w:hAnsi="Times New Roman" w:cs="Times New Roman"/>
          <w:sz w:val="24"/>
          <w:szCs w:val="24"/>
        </w:rPr>
      </w:pPr>
      <w:r w:rsidRPr="00F33937">
        <w:rPr>
          <w:rFonts w:ascii="Times New Roman" w:hAnsi="Times New Roman" w:cs="Times New Roman"/>
          <w:sz w:val="24"/>
          <w:szCs w:val="24"/>
        </w:rPr>
        <w:t>American Declaration on the Rights and Duties of Man</w:t>
      </w:r>
      <w:r w:rsidR="002D6206" w:rsidRPr="00F33937">
        <w:rPr>
          <w:rFonts w:ascii="Times New Roman" w:hAnsi="Times New Roman" w:cs="Times New Roman"/>
          <w:sz w:val="24"/>
          <w:szCs w:val="24"/>
        </w:rPr>
        <w:t xml:space="preserve"> 1948..</w:t>
      </w:r>
      <w:r w:rsidRPr="00F33937">
        <w:rPr>
          <w:rFonts w:ascii="Times New Roman" w:hAnsi="Times New Roman" w:cs="Times New Roman"/>
          <w:sz w:val="24"/>
          <w:szCs w:val="24"/>
        </w:rPr>
        <w:t>......................</w:t>
      </w:r>
      <w:r w:rsidR="00970D52" w:rsidRPr="00F33937">
        <w:rPr>
          <w:rFonts w:ascii="Times New Roman" w:hAnsi="Times New Roman" w:cs="Times New Roman"/>
          <w:sz w:val="24"/>
          <w:szCs w:val="24"/>
        </w:rPr>
        <w:t>.</w:t>
      </w:r>
      <w:r w:rsidR="00A20F45" w:rsidRPr="00F33937">
        <w:rPr>
          <w:rFonts w:ascii="Times New Roman" w:hAnsi="Times New Roman" w:cs="Times New Roman"/>
          <w:sz w:val="24"/>
          <w:szCs w:val="24"/>
        </w:rPr>
        <w:t>..................</w:t>
      </w:r>
      <w:r w:rsidR="002D6206" w:rsidRPr="00F33937">
        <w:rPr>
          <w:rFonts w:ascii="Times New Roman" w:hAnsi="Times New Roman" w:cs="Times New Roman"/>
          <w:sz w:val="24"/>
          <w:szCs w:val="24"/>
        </w:rPr>
        <w:t>.</w:t>
      </w:r>
      <w:r w:rsidR="00A20F45" w:rsidRPr="00F33937">
        <w:rPr>
          <w:rFonts w:ascii="Times New Roman" w:hAnsi="Times New Roman" w:cs="Times New Roman"/>
          <w:sz w:val="24"/>
          <w:szCs w:val="24"/>
        </w:rPr>
        <w:t>....</w:t>
      </w:r>
      <w:r w:rsidR="002D6206" w:rsidRPr="00F33937">
        <w:rPr>
          <w:rFonts w:ascii="Times New Roman" w:hAnsi="Times New Roman" w:cs="Times New Roman"/>
          <w:sz w:val="24"/>
          <w:szCs w:val="24"/>
        </w:rPr>
        <w:t>16, 26</w:t>
      </w:r>
    </w:p>
    <w:p w14:paraId="24894AC7" w14:textId="77777777" w:rsidR="002779AB" w:rsidRPr="00F33937" w:rsidRDefault="002779AB" w:rsidP="00840E20">
      <w:pPr>
        <w:contextualSpacing/>
        <w:rPr>
          <w:rFonts w:ascii="Times New Roman" w:hAnsi="Times New Roman" w:cs="Times New Roman"/>
          <w:sz w:val="24"/>
          <w:szCs w:val="24"/>
        </w:rPr>
      </w:pPr>
    </w:p>
    <w:p w14:paraId="42067CC0" w14:textId="32772205" w:rsidR="002779AB" w:rsidRPr="00F33937" w:rsidRDefault="002779AB" w:rsidP="00840E20">
      <w:pPr>
        <w:contextualSpacing/>
        <w:rPr>
          <w:rFonts w:ascii="Times New Roman" w:hAnsi="Times New Roman" w:cs="Times New Roman"/>
          <w:sz w:val="24"/>
          <w:szCs w:val="24"/>
        </w:rPr>
      </w:pPr>
      <w:r w:rsidRPr="00F33937">
        <w:rPr>
          <w:rFonts w:ascii="Times New Roman" w:hAnsi="Times New Roman" w:cs="Times New Roman"/>
          <w:sz w:val="24"/>
        </w:rPr>
        <w:t xml:space="preserve">American Declaration on </w:t>
      </w:r>
      <w:r w:rsidR="005210AE" w:rsidRPr="00F33937">
        <w:rPr>
          <w:rFonts w:ascii="Times New Roman" w:hAnsi="Times New Roman" w:cs="Times New Roman"/>
          <w:sz w:val="24"/>
        </w:rPr>
        <w:t xml:space="preserve">the </w:t>
      </w:r>
      <w:r w:rsidRPr="00F33937">
        <w:rPr>
          <w:rFonts w:ascii="Times New Roman" w:hAnsi="Times New Roman" w:cs="Times New Roman"/>
          <w:sz w:val="24"/>
        </w:rPr>
        <w:t>Rights of Indigenous Peoples</w:t>
      </w:r>
      <w:r w:rsidR="00F33937">
        <w:rPr>
          <w:rFonts w:ascii="Times New Roman" w:hAnsi="Times New Roman" w:cs="Times New Roman"/>
          <w:sz w:val="24"/>
        </w:rPr>
        <w:t xml:space="preserve"> </w:t>
      </w:r>
      <w:r w:rsidR="00683D57">
        <w:rPr>
          <w:rFonts w:ascii="Times New Roman" w:hAnsi="Times New Roman" w:cs="Times New Roman"/>
          <w:sz w:val="24"/>
        </w:rPr>
        <w:t>2016</w:t>
      </w:r>
      <w:r w:rsidRPr="00F33937">
        <w:rPr>
          <w:rFonts w:ascii="Times New Roman" w:hAnsi="Times New Roman" w:cs="Times New Roman"/>
          <w:sz w:val="24"/>
          <w:szCs w:val="24"/>
        </w:rPr>
        <w:t>........</w:t>
      </w:r>
      <w:r w:rsidR="00683D57">
        <w:rPr>
          <w:rFonts w:ascii="Times New Roman" w:hAnsi="Times New Roman" w:cs="Times New Roman"/>
          <w:sz w:val="24"/>
          <w:szCs w:val="24"/>
        </w:rPr>
        <w:t>..</w:t>
      </w:r>
      <w:r w:rsidRPr="00F33937">
        <w:rPr>
          <w:rFonts w:ascii="Times New Roman" w:hAnsi="Times New Roman" w:cs="Times New Roman"/>
          <w:sz w:val="24"/>
          <w:szCs w:val="24"/>
        </w:rPr>
        <w:t>..............</w:t>
      </w:r>
      <w:r w:rsidR="005210AE" w:rsidRPr="00F33937">
        <w:rPr>
          <w:rFonts w:ascii="Times New Roman" w:hAnsi="Times New Roman" w:cs="Times New Roman"/>
          <w:sz w:val="24"/>
          <w:szCs w:val="24"/>
        </w:rPr>
        <w:t>........</w:t>
      </w:r>
      <w:r w:rsidR="00F11613" w:rsidRPr="00F33937">
        <w:rPr>
          <w:rFonts w:ascii="Times New Roman" w:hAnsi="Times New Roman" w:cs="Times New Roman"/>
          <w:sz w:val="24"/>
          <w:szCs w:val="24"/>
        </w:rPr>
        <w:t>.</w:t>
      </w:r>
      <w:r w:rsidR="00E525A2" w:rsidRPr="00F33937">
        <w:rPr>
          <w:rFonts w:ascii="Times New Roman" w:hAnsi="Times New Roman" w:cs="Times New Roman"/>
          <w:sz w:val="24"/>
          <w:szCs w:val="24"/>
        </w:rPr>
        <w:t>..</w:t>
      </w:r>
      <w:r w:rsidRPr="00F33937">
        <w:rPr>
          <w:rFonts w:ascii="Times New Roman" w:hAnsi="Times New Roman" w:cs="Times New Roman"/>
          <w:sz w:val="24"/>
          <w:szCs w:val="24"/>
        </w:rPr>
        <w:t>.12</w:t>
      </w:r>
      <w:r w:rsidR="00E525A2" w:rsidRPr="00F33937">
        <w:rPr>
          <w:rFonts w:ascii="Times New Roman" w:hAnsi="Times New Roman" w:cs="Times New Roman"/>
          <w:sz w:val="24"/>
          <w:szCs w:val="24"/>
        </w:rPr>
        <w:t>, 13, 19</w:t>
      </w:r>
    </w:p>
    <w:p w14:paraId="58290250" w14:textId="77777777" w:rsidR="00631CD0" w:rsidRPr="00F33937" w:rsidRDefault="00631CD0" w:rsidP="00840E20">
      <w:pPr>
        <w:contextualSpacing/>
        <w:rPr>
          <w:rFonts w:ascii="Times New Roman" w:hAnsi="Times New Roman" w:cs="Times New Roman"/>
          <w:sz w:val="24"/>
          <w:szCs w:val="24"/>
        </w:rPr>
      </w:pPr>
    </w:p>
    <w:p w14:paraId="384A964C" w14:textId="7B37B855" w:rsidR="00631CD0" w:rsidRPr="00F33937" w:rsidRDefault="00631CD0" w:rsidP="00840E20">
      <w:pPr>
        <w:contextualSpacing/>
        <w:rPr>
          <w:rFonts w:ascii="Times New Roman" w:hAnsi="Times New Roman" w:cs="Times New Roman"/>
          <w:sz w:val="24"/>
          <w:szCs w:val="24"/>
        </w:rPr>
      </w:pPr>
      <w:r w:rsidRPr="00F33937">
        <w:rPr>
          <w:rFonts w:ascii="Times New Roman" w:hAnsi="Times New Roman" w:cs="Times New Roman"/>
          <w:sz w:val="24"/>
        </w:rPr>
        <w:t>Charter of the Organization of American States</w:t>
      </w:r>
      <w:r w:rsidR="005D1C90">
        <w:rPr>
          <w:rFonts w:ascii="Times New Roman" w:hAnsi="Times New Roman" w:cs="Times New Roman"/>
          <w:sz w:val="24"/>
        </w:rPr>
        <w:t xml:space="preserve"> 1948</w:t>
      </w:r>
      <w:r w:rsidRPr="00F33937">
        <w:rPr>
          <w:rFonts w:ascii="Times New Roman" w:hAnsi="Times New Roman" w:cs="Times New Roman"/>
          <w:sz w:val="24"/>
          <w:szCs w:val="24"/>
        </w:rPr>
        <w:t>.........................................</w:t>
      </w:r>
      <w:r w:rsidR="005D1C90">
        <w:rPr>
          <w:rFonts w:ascii="Times New Roman" w:hAnsi="Times New Roman" w:cs="Times New Roman"/>
          <w:sz w:val="24"/>
          <w:szCs w:val="24"/>
        </w:rPr>
        <w:t>................</w:t>
      </w:r>
      <w:r w:rsidRPr="00F33937">
        <w:rPr>
          <w:rFonts w:ascii="Times New Roman" w:hAnsi="Times New Roman" w:cs="Times New Roman"/>
          <w:sz w:val="24"/>
          <w:szCs w:val="24"/>
        </w:rPr>
        <w:t>..........16</w:t>
      </w:r>
    </w:p>
    <w:p w14:paraId="556EBAFE" w14:textId="77777777" w:rsidR="004C1AE1" w:rsidRPr="00F33937" w:rsidRDefault="004C1AE1" w:rsidP="00840E20">
      <w:pPr>
        <w:contextualSpacing/>
        <w:rPr>
          <w:rFonts w:ascii="Times New Roman" w:hAnsi="Times New Roman" w:cs="Times New Roman"/>
          <w:sz w:val="24"/>
          <w:szCs w:val="24"/>
        </w:rPr>
      </w:pPr>
    </w:p>
    <w:p w14:paraId="14088A34" w14:textId="16D27922" w:rsidR="004C1AE1" w:rsidRPr="00F33937" w:rsidRDefault="004C1AE1" w:rsidP="00840E20">
      <w:pPr>
        <w:contextualSpacing/>
        <w:rPr>
          <w:rFonts w:ascii="Times New Roman" w:hAnsi="Times New Roman" w:cs="Times New Roman"/>
          <w:sz w:val="24"/>
          <w:szCs w:val="24"/>
        </w:rPr>
      </w:pPr>
      <w:r w:rsidRPr="00F33937">
        <w:rPr>
          <w:rFonts w:ascii="Times New Roman" w:hAnsi="Times New Roman" w:cs="Times New Roman"/>
          <w:sz w:val="24"/>
        </w:rPr>
        <w:t>Declaration of the High-Level Meeting on the Rule of Law</w:t>
      </w:r>
      <w:r w:rsidR="005D1C90">
        <w:rPr>
          <w:rFonts w:ascii="Times New Roman" w:hAnsi="Times New Roman" w:cs="Times New Roman"/>
          <w:sz w:val="24"/>
        </w:rPr>
        <w:t xml:space="preserve"> 2012</w:t>
      </w:r>
      <w:r w:rsidR="005D1C90">
        <w:rPr>
          <w:rFonts w:ascii="Times New Roman" w:hAnsi="Times New Roman" w:cs="Times New Roman"/>
          <w:sz w:val="24"/>
          <w:szCs w:val="24"/>
        </w:rPr>
        <w:t>...</w:t>
      </w:r>
      <w:r w:rsidRPr="00F33937">
        <w:rPr>
          <w:rFonts w:ascii="Times New Roman" w:hAnsi="Times New Roman" w:cs="Times New Roman"/>
          <w:sz w:val="24"/>
          <w:szCs w:val="24"/>
        </w:rPr>
        <w:t>.............................................16</w:t>
      </w:r>
    </w:p>
    <w:p w14:paraId="641EF1A3" w14:textId="77777777" w:rsidR="00AB7E0C" w:rsidRPr="00F33937" w:rsidRDefault="00AB7E0C" w:rsidP="00840E20">
      <w:pPr>
        <w:contextualSpacing/>
        <w:rPr>
          <w:rFonts w:ascii="Times New Roman" w:hAnsi="Times New Roman" w:cs="Times New Roman"/>
          <w:sz w:val="24"/>
          <w:szCs w:val="24"/>
        </w:rPr>
      </w:pPr>
    </w:p>
    <w:p w14:paraId="1228ECC9" w14:textId="4F0B3977" w:rsidR="00AB7E0C" w:rsidRPr="00F33937" w:rsidRDefault="00AB7E0C" w:rsidP="00840E20">
      <w:pPr>
        <w:contextualSpacing/>
        <w:rPr>
          <w:rFonts w:ascii="Times New Roman" w:hAnsi="Times New Roman" w:cs="Times New Roman"/>
          <w:sz w:val="24"/>
          <w:szCs w:val="24"/>
        </w:rPr>
      </w:pPr>
      <w:r w:rsidRPr="00F33937">
        <w:rPr>
          <w:rFonts w:ascii="Times New Roman" w:hAnsi="Times New Roman" w:cs="Times New Roman"/>
          <w:sz w:val="24"/>
          <w:szCs w:val="24"/>
        </w:rPr>
        <w:t>European Convention on Human Rights 1953..............................................................................21</w:t>
      </w:r>
    </w:p>
    <w:p w14:paraId="78BF3C0B" w14:textId="77777777" w:rsidR="00613DF7" w:rsidRPr="00F33937" w:rsidRDefault="00613DF7" w:rsidP="00840E20">
      <w:pPr>
        <w:contextualSpacing/>
        <w:rPr>
          <w:rFonts w:ascii="Times New Roman" w:hAnsi="Times New Roman" w:cs="Times New Roman"/>
          <w:sz w:val="24"/>
          <w:szCs w:val="24"/>
        </w:rPr>
      </w:pPr>
    </w:p>
    <w:p w14:paraId="5B6F5B58" w14:textId="5099C702" w:rsidR="00613DF7" w:rsidRPr="00F33937" w:rsidRDefault="00613DF7" w:rsidP="00840E20">
      <w:pPr>
        <w:contextualSpacing/>
        <w:rPr>
          <w:rFonts w:ascii="Times New Roman" w:hAnsi="Times New Roman" w:cs="Times New Roman"/>
          <w:sz w:val="24"/>
          <w:szCs w:val="24"/>
        </w:rPr>
      </w:pPr>
      <w:r w:rsidRPr="00F33937">
        <w:rPr>
          <w:rFonts w:ascii="Times New Roman" w:hAnsi="Times New Roman" w:cs="Times New Roman"/>
          <w:sz w:val="24"/>
          <w:szCs w:val="24"/>
        </w:rPr>
        <w:t>European Court of Human Rights</w:t>
      </w:r>
      <w:r w:rsidR="003E4416">
        <w:rPr>
          <w:rFonts w:ascii="Times New Roman" w:hAnsi="Times New Roman" w:cs="Times New Roman"/>
          <w:sz w:val="24"/>
          <w:szCs w:val="24"/>
        </w:rPr>
        <w:t xml:space="preserve"> 1959</w:t>
      </w:r>
      <w:r w:rsidR="00EF1B12" w:rsidRPr="00F33937">
        <w:rPr>
          <w:rFonts w:ascii="Times New Roman" w:hAnsi="Times New Roman" w:cs="Times New Roman"/>
          <w:sz w:val="24"/>
          <w:szCs w:val="24"/>
        </w:rPr>
        <w:t>.........................................................................................23</w:t>
      </w:r>
    </w:p>
    <w:p w14:paraId="7779582E" w14:textId="77777777" w:rsidR="0023465E" w:rsidRPr="00F33937" w:rsidRDefault="0023465E" w:rsidP="00840E20">
      <w:pPr>
        <w:contextualSpacing/>
        <w:rPr>
          <w:rFonts w:ascii="Times New Roman" w:hAnsi="Times New Roman" w:cs="Times New Roman"/>
          <w:sz w:val="24"/>
          <w:szCs w:val="24"/>
        </w:rPr>
      </w:pPr>
    </w:p>
    <w:p w14:paraId="0538E5AF" w14:textId="6394AC65" w:rsidR="0023465E" w:rsidRPr="00F33937" w:rsidRDefault="00751326" w:rsidP="00840E20">
      <w:pPr>
        <w:contextualSpacing/>
        <w:rPr>
          <w:rFonts w:ascii="Times New Roman" w:hAnsi="Times New Roman" w:cs="Times New Roman"/>
          <w:sz w:val="24"/>
          <w:szCs w:val="24"/>
        </w:rPr>
      </w:pPr>
      <w:r>
        <w:rPr>
          <w:rFonts w:ascii="Times New Roman" w:hAnsi="Times New Roman" w:cs="Times New Roman"/>
          <w:sz w:val="24"/>
          <w:szCs w:val="24"/>
        </w:rPr>
        <w:t>Geneva Convention 1949</w:t>
      </w:r>
      <w:r w:rsidR="0023465E" w:rsidRPr="00F33937">
        <w:rPr>
          <w:rFonts w:ascii="Times New Roman" w:hAnsi="Times New Roman" w:cs="Times New Roman"/>
          <w:sz w:val="24"/>
          <w:szCs w:val="24"/>
        </w:rPr>
        <w:t>............................................</w:t>
      </w:r>
      <w:r>
        <w:rPr>
          <w:rFonts w:ascii="Times New Roman" w:hAnsi="Times New Roman" w:cs="Times New Roman"/>
          <w:sz w:val="24"/>
          <w:szCs w:val="24"/>
        </w:rPr>
        <w:t>........................</w:t>
      </w:r>
      <w:r w:rsidR="00504477" w:rsidRPr="00F33937">
        <w:rPr>
          <w:rFonts w:ascii="Times New Roman" w:hAnsi="Times New Roman" w:cs="Times New Roman"/>
          <w:sz w:val="24"/>
          <w:szCs w:val="24"/>
        </w:rPr>
        <w:t>.......</w:t>
      </w:r>
      <w:r w:rsidR="00B2147C" w:rsidRPr="00F33937">
        <w:rPr>
          <w:rFonts w:ascii="Times New Roman" w:hAnsi="Times New Roman" w:cs="Times New Roman"/>
          <w:sz w:val="24"/>
          <w:szCs w:val="24"/>
        </w:rPr>
        <w:t>.............</w:t>
      </w:r>
      <w:r w:rsidR="00C83C70" w:rsidRPr="00F33937">
        <w:rPr>
          <w:rFonts w:ascii="Times New Roman" w:hAnsi="Times New Roman" w:cs="Times New Roman"/>
          <w:sz w:val="24"/>
          <w:szCs w:val="24"/>
        </w:rPr>
        <w:t>.....11</w:t>
      </w:r>
      <w:r w:rsidR="00B2147C" w:rsidRPr="00F33937">
        <w:rPr>
          <w:rFonts w:ascii="Times New Roman" w:hAnsi="Times New Roman" w:cs="Times New Roman"/>
          <w:sz w:val="24"/>
          <w:szCs w:val="24"/>
        </w:rPr>
        <w:t xml:space="preserve">, </w:t>
      </w:r>
      <w:r w:rsidR="00C83C70" w:rsidRPr="00F33937">
        <w:rPr>
          <w:rFonts w:ascii="Times New Roman" w:hAnsi="Times New Roman" w:cs="Times New Roman"/>
          <w:sz w:val="24"/>
          <w:szCs w:val="24"/>
        </w:rPr>
        <w:t xml:space="preserve">15, </w:t>
      </w:r>
      <w:r w:rsidR="00B2147C" w:rsidRPr="00F33937">
        <w:rPr>
          <w:rFonts w:ascii="Times New Roman" w:hAnsi="Times New Roman" w:cs="Times New Roman"/>
          <w:sz w:val="24"/>
          <w:szCs w:val="24"/>
        </w:rPr>
        <w:t>23</w:t>
      </w:r>
      <w:r w:rsidR="00504477" w:rsidRPr="00F33937">
        <w:rPr>
          <w:rFonts w:ascii="Times New Roman" w:hAnsi="Times New Roman" w:cs="Times New Roman"/>
          <w:sz w:val="24"/>
          <w:szCs w:val="24"/>
        </w:rPr>
        <w:t>, 26</w:t>
      </w:r>
    </w:p>
    <w:p w14:paraId="1C7A7F0A" w14:textId="77777777" w:rsidR="00840E20" w:rsidRPr="00F33937" w:rsidRDefault="00840E20" w:rsidP="00840E20">
      <w:pPr>
        <w:contextualSpacing/>
        <w:rPr>
          <w:rFonts w:ascii="Times New Roman" w:hAnsi="Times New Roman" w:cs="Times New Roman"/>
          <w:sz w:val="24"/>
          <w:szCs w:val="24"/>
        </w:rPr>
      </w:pPr>
    </w:p>
    <w:p w14:paraId="226857D6" w14:textId="144F3BE9" w:rsidR="00840E20" w:rsidRPr="00F33937" w:rsidRDefault="001023D7" w:rsidP="00840E20">
      <w:pPr>
        <w:contextualSpacing/>
        <w:rPr>
          <w:rFonts w:ascii="Times New Roman" w:hAnsi="Times New Roman" w:cs="Times New Roman"/>
          <w:sz w:val="24"/>
          <w:szCs w:val="24"/>
        </w:rPr>
      </w:pPr>
      <w:r w:rsidRPr="00F33937">
        <w:rPr>
          <w:rFonts w:ascii="Times New Roman" w:hAnsi="Times New Roman" w:cs="Times New Roman"/>
          <w:sz w:val="24"/>
          <w:szCs w:val="24"/>
        </w:rPr>
        <w:t>Inter-American Democratic Charter</w:t>
      </w:r>
      <w:r w:rsidR="0022592B">
        <w:rPr>
          <w:rFonts w:ascii="Times New Roman" w:hAnsi="Times New Roman" w:cs="Times New Roman"/>
          <w:sz w:val="24"/>
          <w:szCs w:val="24"/>
        </w:rPr>
        <w:t xml:space="preserve"> 2001......</w:t>
      </w:r>
      <w:r w:rsidR="00840E20" w:rsidRPr="00F33937">
        <w:rPr>
          <w:rFonts w:ascii="Times New Roman" w:hAnsi="Times New Roman" w:cs="Times New Roman"/>
          <w:sz w:val="24"/>
          <w:szCs w:val="24"/>
        </w:rPr>
        <w:t>..</w:t>
      </w:r>
      <w:r w:rsidRPr="00F33937">
        <w:rPr>
          <w:rFonts w:ascii="Times New Roman" w:hAnsi="Times New Roman" w:cs="Times New Roman"/>
          <w:sz w:val="24"/>
          <w:szCs w:val="24"/>
        </w:rPr>
        <w:t>.....................................</w:t>
      </w:r>
      <w:r w:rsidR="0095127B" w:rsidRPr="00F33937">
        <w:rPr>
          <w:rFonts w:ascii="Times New Roman" w:hAnsi="Times New Roman" w:cs="Times New Roman"/>
          <w:sz w:val="24"/>
          <w:szCs w:val="24"/>
        </w:rPr>
        <w:t>..................</w:t>
      </w:r>
      <w:r w:rsidR="00DB50DD" w:rsidRPr="00F33937">
        <w:rPr>
          <w:rFonts w:ascii="Times New Roman" w:hAnsi="Times New Roman" w:cs="Times New Roman"/>
          <w:sz w:val="24"/>
          <w:szCs w:val="24"/>
        </w:rPr>
        <w:t>..........</w:t>
      </w:r>
      <w:r w:rsidR="005907E0" w:rsidRPr="00F33937">
        <w:rPr>
          <w:rFonts w:ascii="Times New Roman" w:hAnsi="Times New Roman" w:cs="Times New Roman"/>
          <w:sz w:val="24"/>
          <w:szCs w:val="24"/>
        </w:rPr>
        <w:t>28</w:t>
      </w:r>
      <w:r w:rsidR="00DB50DD" w:rsidRPr="00F33937">
        <w:rPr>
          <w:rFonts w:ascii="Times New Roman" w:hAnsi="Times New Roman" w:cs="Times New Roman"/>
          <w:sz w:val="24"/>
          <w:szCs w:val="24"/>
        </w:rPr>
        <w:t>, 29, 30</w:t>
      </w:r>
    </w:p>
    <w:p w14:paraId="682EE585" w14:textId="77777777" w:rsidR="00806026" w:rsidRPr="00F33937" w:rsidRDefault="00806026" w:rsidP="000921BC">
      <w:pPr>
        <w:contextualSpacing/>
        <w:rPr>
          <w:rFonts w:ascii="Times New Roman" w:hAnsi="Times New Roman" w:cs="Times New Roman"/>
          <w:sz w:val="24"/>
          <w:szCs w:val="24"/>
        </w:rPr>
      </w:pPr>
    </w:p>
    <w:p w14:paraId="6A281FE4" w14:textId="6CD17232" w:rsidR="00806026" w:rsidRPr="00F33937" w:rsidRDefault="00806026" w:rsidP="000921BC">
      <w:pPr>
        <w:contextualSpacing/>
        <w:rPr>
          <w:rFonts w:ascii="Times New Roman" w:hAnsi="Times New Roman" w:cs="Times New Roman"/>
          <w:sz w:val="24"/>
          <w:szCs w:val="24"/>
        </w:rPr>
      </w:pPr>
      <w:r w:rsidRPr="00F33937">
        <w:rPr>
          <w:rFonts w:ascii="Times New Roman" w:hAnsi="Times New Roman" w:cs="Times New Roman"/>
          <w:sz w:val="24"/>
          <w:szCs w:val="24"/>
        </w:rPr>
        <w:t>Universal Declaration of Human Rights</w:t>
      </w:r>
      <w:r w:rsidR="007D7881">
        <w:rPr>
          <w:rFonts w:ascii="Times New Roman" w:hAnsi="Times New Roman" w:cs="Times New Roman"/>
          <w:sz w:val="24"/>
          <w:szCs w:val="24"/>
        </w:rPr>
        <w:t xml:space="preserve"> 1948</w:t>
      </w:r>
      <w:r w:rsidRPr="00F33937">
        <w:rPr>
          <w:rFonts w:ascii="Times New Roman" w:hAnsi="Times New Roman" w:cs="Times New Roman"/>
          <w:sz w:val="24"/>
          <w:szCs w:val="24"/>
        </w:rPr>
        <w:t>......................................................</w:t>
      </w:r>
      <w:r w:rsidR="007D7881">
        <w:rPr>
          <w:rFonts w:ascii="Times New Roman" w:hAnsi="Times New Roman" w:cs="Times New Roman"/>
          <w:sz w:val="24"/>
          <w:szCs w:val="24"/>
        </w:rPr>
        <w:t>....</w:t>
      </w:r>
      <w:r w:rsidR="00A306A9" w:rsidRPr="00F33937">
        <w:rPr>
          <w:rFonts w:ascii="Times New Roman" w:hAnsi="Times New Roman" w:cs="Times New Roman"/>
          <w:sz w:val="24"/>
          <w:szCs w:val="24"/>
        </w:rPr>
        <w:t>............</w:t>
      </w:r>
      <w:r w:rsidRPr="00F33937">
        <w:rPr>
          <w:rFonts w:ascii="Times New Roman" w:hAnsi="Times New Roman" w:cs="Times New Roman"/>
          <w:sz w:val="24"/>
          <w:szCs w:val="24"/>
        </w:rPr>
        <w:t>...16</w:t>
      </w:r>
      <w:r w:rsidR="00A306A9" w:rsidRPr="00F33937">
        <w:rPr>
          <w:rFonts w:ascii="Times New Roman" w:hAnsi="Times New Roman" w:cs="Times New Roman"/>
          <w:sz w:val="24"/>
          <w:szCs w:val="24"/>
        </w:rPr>
        <w:t>, 21</w:t>
      </w:r>
    </w:p>
    <w:p w14:paraId="1A6BFED0" w14:textId="77777777" w:rsidR="000921BC" w:rsidRPr="00F33937" w:rsidRDefault="000921BC" w:rsidP="000921BC">
      <w:pPr>
        <w:contextualSpacing/>
        <w:rPr>
          <w:rFonts w:ascii="Times New Roman" w:hAnsi="Times New Roman" w:cs="Times New Roman"/>
          <w:sz w:val="24"/>
          <w:szCs w:val="24"/>
        </w:rPr>
      </w:pPr>
    </w:p>
    <w:p w14:paraId="662F4BF1" w14:textId="77777777" w:rsidR="00A345FD" w:rsidRPr="00F33937" w:rsidRDefault="00A345FD" w:rsidP="000921BC">
      <w:pPr>
        <w:spacing w:line="480" w:lineRule="auto"/>
        <w:contextualSpacing/>
        <w:rPr>
          <w:rFonts w:ascii="Times New Roman" w:hAnsi="Times New Roman" w:cs="Times New Roman"/>
          <w:b/>
          <w:sz w:val="24"/>
          <w:szCs w:val="24"/>
        </w:rPr>
      </w:pPr>
    </w:p>
    <w:p w14:paraId="2D682F77" w14:textId="139E188B" w:rsidR="00840E20" w:rsidRPr="00F33937" w:rsidRDefault="001856C7" w:rsidP="000921BC">
      <w:pPr>
        <w:spacing w:line="480" w:lineRule="auto"/>
        <w:contextualSpacing/>
        <w:rPr>
          <w:rFonts w:ascii="Times New Roman" w:hAnsi="Times New Roman" w:cs="Times New Roman"/>
          <w:b/>
          <w:sz w:val="24"/>
          <w:szCs w:val="24"/>
        </w:rPr>
      </w:pPr>
      <w:r w:rsidRPr="00F33937">
        <w:rPr>
          <w:rFonts w:ascii="Times New Roman" w:hAnsi="Times New Roman" w:cs="Times New Roman"/>
          <w:b/>
          <w:sz w:val="24"/>
          <w:szCs w:val="24"/>
        </w:rPr>
        <w:t>Inter-American Court of</w:t>
      </w:r>
      <w:r w:rsidR="000921BC" w:rsidRPr="00F33937">
        <w:rPr>
          <w:rFonts w:ascii="Times New Roman" w:hAnsi="Times New Roman" w:cs="Times New Roman"/>
          <w:b/>
          <w:sz w:val="24"/>
          <w:szCs w:val="24"/>
        </w:rPr>
        <w:t xml:space="preserve"> Human Rights Case</w:t>
      </w:r>
      <w:r w:rsidRPr="00F33937">
        <w:rPr>
          <w:rFonts w:ascii="Times New Roman" w:hAnsi="Times New Roman" w:cs="Times New Roman"/>
          <w:b/>
          <w:sz w:val="24"/>
          <w:szCs w:val="24"/>
        </w:rPr>
        <w:t>s</w:t>
      </w:r>
    </w:p>
    <w:p w14:paraId="47B0086B" w14:textId="4952C215" w:rsidR="004A4CA5" w:rsidRPr="00F33937" w:rsidRDefault="004A4CA5" w:rsidP="007D4D0C">
      <w:pPr>
        <w:pStyle w:val="FootnoteText"/>
        <w:rPr>
          <w:sz w:val="24"/>
          <w:szCs w:val="24"/>
        </w:rPr>
      </w:pPr>
      <w:r w:rsidRPr="00F33937">
        <w:rPr>
          <w:i/>
          <w:sz w:val="24"/>
          <w:szCs w:val="24"/>
        </w:rPr>
        <w:t xml:space="preserve">Aloeboetoe et al. v. Suriname </w:t>
      </w:r>
      <w:r w:rsidRPr="00F33937">
        <w:rPr>
          <w:sz w:val="24"/>
          <w:szCs w:val="24"/>
        </w:rPr>
        <w:t>[1993]</w:t>
      </w:r>
      <w:r w:rsidRPr="00F33937">
        <w:rPr>
          <w:rFonts w:cs="Times New Roman"/>
          <w:sz w:val="24"/>
          <w:szCs w:val="24"/>
        </w:rPr>
        <w:t xml:space="preserve"> ............................................................................................30</w:t>
      </w:r>
    </w:p>
    <w:p w14:paraId="77DCFC6E" w14:textId="77777777" w:rsidR="004A4CA5" w:rsidRPr="00F33937" w:rsidRDefault="004A4CA5" w:rsidP="007D4D0C">
      <w:pPr>
        <w:pStyle w:val="FootnoteText"/>
        <w:rPr>
          <w:i/>
          <w:sz w:val="24"/>
        </w:rPr>
      </w:pPr>
    </w:p>
    <w:p w14:paraId="45A2D15B" w14:textId="127B5FA0" w:rsidR="0028523A" w:rsidRPr="00F33937" w:rsidRDefault="0028523A" w:rsidP="007D4D0C">
      <w:pPr>
        <w:pStyle w:val="FootnoteText"/>
        <w:rPr>
          <w:i/>
          <w:sz w:val="24"/>
        </w:rPr>
      </w:pPr>
      <w:r w:rsidRPr="00F33937">
        <w:rPr>
          <w:i/>
          <w:sz w:val="24"/>
        </w:rPr>
        <w:t xml:space="preserve">Afro-Descendant Communities Displaced from the Cacarica River Basin (Operation Genesis) v. Colombia </w:t>
      </w:r>
      <w:r w:rsidRPr="00F33937">
        <w:rPr>
          <w:sz w:val="24"/>
        </w:rPr>
        <w:t>[2013]</w:t>
      </w:r>
      <w:r w:rsidR="00B8297C" w:rsidRPr="00F33937">
        <w:rPr>
          <w:rFonts w:cs="Times New Roman"/>
          <w:sz w:val="24"/>
          <w:szCs w:val="24"/>
        </w:rPr>
        <w:t>..</w:t>
      </w:r>
      <w:r w:rsidRPr="00F33937">
        <w:rPr>
          <w:rFonts w:cs="Times New Roman"/>
          <w:sz w:val="24"/>
          <w:szCs w:val="24"/>
        </w:rPr>
        <w:t>..........................................................................................................................</w:t>
      </w:r>
      <w:r w:rsidR="002F506A" w:rsidRPr="00F33937">
        <w:rPr>
          <w:rFonts w:cs="Times New Roman"/>
          <w:sz w:val="24"/>
          <w:szCs w:val="24"/>
        </w:rPr>
        <w:t>29</w:t>
      </w:r>
    </w:p>
    <w:p w14:paraId="321A4813" w14:textId="77777777" w:rsidR="0028523A" w:rsidRPr="00F33937" w:rsidRDefault="0028523A" w:rsidP="007D4D0C">
      <w:pPr>
        <w:pStyle w:val="FootnoteText"/>
        <w:rPr>
          <w:rFonts w:cs="Times New Roman"/>
          <w:i/>
          <w:sz w:val="24"/>
          <w:szCs w:val="24"/>
        </w:rPr>
      </w:pPr>
    </w:p>
    <w:p w14:paraId="0455B81C" w14:textId="654102A1" w:rsidR="007D4D0C" w:rsidRPr="00F33937" w:rsidRDefault="007D4D0C" w:rsidP="007D4D0C">
      <w:pPr>
        <w:pStyle w:val="FootnoteText"/>
        <w:rPr>
          <w:rFonts w:cs="Times New Roman"/>
          <w:sz w:val="24"/>
          <w:szCs w:val="24"/>
        </w:rPr>
      </w:pPr>
      <w:r w:rsidRPr="00F33937">
        <w:rPr>
          <w:rFonts w:cs="Times New Roman"/>
          <w:i/>
          <w:sz w:val="24"/>
          <w:szCs w:val="24"/>
        </w:rPr>
        <w:t>B</w:t>
      </w:r>
      <w:r w:rsidR="00EE1035" w:rsidRPr="00F33937">
        <w:rPr>
          <w:rFonts w:cs="Times New Roman"/>
          <w:i/>
          <w:sz w:val="24"/>
          <w:szCs w:val="24"/>
        </w:rPr>
        <w:t>á</w:t>
      </w:r>
      <w:r w:rsidRPr="00F33937">
        <w:rPr>
          <w:rFonts w:cs="Times New Roman"/>
          <w:i/>
          <w:sz w:val="24"/>
          <w:szCs w:val="24"/>
        </w:rPr>
        <w:t>maca Vel</w:t>
      </w:r>
      <w:r w:rsidR="00EE1035" w:rsidRPr="00F33937">
        <w:rPr>
          <w:rFonts w:cs="Times New Roman"/>
          <w:i/>
          <w:sz w:val="24"/>
          <w:szCs w:val="24"/>
        </w:rPr>
        <w:t>á</w:t>
      </w:r>
      <w:r w:rsidRPr="00F33937">
        <w:rPr>
          <w:rFonts w:cs="Times New Roman"/>
          <w:i/>
          <w:sz w:val="24"/>
          <w:szCs w:val="24"/>
        </w:rPr>
        <w:t xml:space="preserve">squez v. Guatemala </w:t>
      </w:r>
      <w:r w:rsidRPr="00F33937">
        <w:rPr>
          <w:rFonts w:cs="Times New Roman"/>
          <w:sz w:val="24"/>
          <w:szCs w:val="24"/>
        </w:rPr>
        <w:t>[2000]...........................................</w:t>
      </w:r>
      <w:r w:rsidR="00620F15" w:rsidRPr="00F33937">
        <w:rPr>
          <w:rFonts w:cs="Times New Roman"/>
          <w:sz w:val="24"/>
          <w:szCs w:val="24"/>
        </w:rPr>
        <w:t>...</w:t>
      </w:r>
      <w:r w:rsidR="00E67B76" w:rsidRPr="00F33937">
        <w:rPr>
          <w:rFonts w:cs="Times New Roman"/>
          <w:sz w:val="24"/>
          <w:szCs w:val="24"/>
        </w:rPr>
        <w:t>.................</w:t>
      </w:r>
      <w:r w:rsidR="00481761" w:rsidRPr="00F33937">
        <w:rPr>
          <w:rFonts w:cs="Times New Roman"/>
          <w:sz w:val="24"/>
          <w:szCs w:val="24"/>
        </w:rPr>
        <w:t>.</w:t>
      </w:r>
      <w:r w:rsidRPr="00F33937">
        <w:rPr>
          <w:rFonts w:cs="Times New Roman"/>
          <w:sz w:val="24"/>
          <w:szCs w:val="24"/>
        </w:rPr>
        <w:t>.</w:t>
      </w:r>
      <w:r w:rsidR="00D115D7" w:rsidRPr="00F33937">
        <w:rPr>
          <w:rFonts w:cs="Times New Roman"/>
          <w:sz w:val="24"/>
          <w:szCs w:val="24"/>
        </w:rPr>
        <w:t>.....</w:t>
      </w:r>
      <w:r w:rsidR="00481761" w:rsidRPr="00F33937">
        <w:rPr>
          <w:rFonts w:cs="Times New Roman"/>
          <w:sz w:val="24"/>
          <w:szCs w:val="24"/>
        </w:rPr>
        <w:t>..</w:t>
      </w:r>
      <w:r w:rsidR="00D115D7" w:rsidRPr="00F33937">
        <w:rPr>
          <w:rFonts w:cs="Times New Roman"/>
          <w:sz w:val="24"/>
          <w:szCs w:val="24"/>
        </w:rPr>
        <w:t xml:space="preserve"> </w:t>
      </w:r>
      <w:r w:rsidR="00C21C24" w:rsidRPr="00F33937">
        <w:rPr>
          <w:rFonts w:cs="Times New Roman"/>
          <w:sz w:val="24"/>
          <w:szCs w:val="24"/>
        </w:rPr>
        <w:t>8,</w:t>
      </w:r>
      <w:r w:rsidR="00620F15" w:rsidRPr="00F33937">
        <w:rPr>
          <w:rFonts w:cs="Times New Roman"/>
          <w:sz w:val="24"/>
          <w:szCs w:val="24"/>
        </w:rPr>
        <w:t xml:space="preserve"> </w:t>
      </w:r>
      <w:r w:rsidR="00C21C24" w:rsidRPr="00F33937">
        <w:rPr>
          <w:rFonts w:cs="Times New Roman"/>
          <w:sz w:val="24"/>
          <w:szCs w:val="24"/>
        </w:rPr>
        <w:t>9</w:t>
      </w:r>
      <w:r w:rsidR="00AD0AB2" w:rsidRPr="00F33937">
        <w:rPr>
          <w:rFonts w:cs="Times New Roman"/>
          <w:sz w:val="24"/>
          <w:szCs w:val="24"/>
        </w:rPr>
        <w:t>,</w:t>
      </w:r>
      <w:r w:rsidR="00620F15" w:rsidRPr="00F33937">
        <w:rPr>
          <w:rFonts w:cs="Times New Roman"/>
          <w:sz w:val="24"/>
          <w:szCs w:val="24"/>
        </w:rPr>
        <w:t xml:space="preserve"> </w:t>
      </w:r>
      <w:r w:rsidR="00AD0AB2" w:rsidRPr="00F33937">
        <w:rPr>
          <w:rFonts w:cs="Times New Roman"/>
          <w:sz w:val="24"/>
          <w:szCs w:val="24"/>
        </w:rPr>
        <w:t>11</w:t>
      </w:r>
      <w:r w:rsidR="00E67B76" w:rsidRPr="00F33937">
        <w:rPr>
          <w:rFonts w:cs="Times New Roman"/>
          <w:sz w:val="24"/>
          <w:szCs w:val="24"/>
        </w:rPr>
        <w:t>,</w:t>
      </w:r>
      <w:r w:rsidR="00620F15" w:rsidRPr="00F33937">
        <w:rPr>
          <w:rFonts w:cs="Times New Roman"/>
          <w:sz w:val="24"/>
          <w:szCs w:val="24"/>
        </w:rPr>
        <w:t xml:space="preserve"> </w:t>
      </w:r>
      <w:r w:rsidR="00E67B76" w:rsidRPr="00F33937">
        <w:rPr>
          <w:rFonts w:cs="Times New Roman"/>
          <w:sz w:val="24"/>
          <w:szCs w:val="24"/>
        </w:rPr>
        <w:t>25</w:t>
      </w:r>
    </w:p>
    <w:p w14:paraId="6F961AD0" w14:textId="77777777" w:rsidR="0025105F" w:rsidRPr="00F33937" w:rsidRDefault="0025105F" w:rsidP="007D4D0C">
      <w:pPr>
        <w:pStyle w:val="FootnoteText"/>
        <w:rPr>
          <w:rFonts w:cs="Times New Roman"/>
          <w:sz w:val="24"/>
          <w:szCs w:val="24"/>
        </w:rPr>
      </w:pPr>
    </w:p>
    <w:p w14:paraId="5B3FC9FC" w14:textId="7318A8B1" w:rsidR="0025105F" w:rsidRPr="00F33937" w:rsidRDefault="00ED2575" w:rsidP="0025105F">
      <w:pPr>
        <w:contextualSpacing/>
        <w:rPr>
          <w:rFonts w:ascii="Times New Roman" w:hAnsi="Times New Roman" w:cs="Times New Roman"/>
          <w:sz w:val="28"/>
          <w:szCs w:val="24"/>
        </w:rPr>
      </w:pPr>
      <w:r>
        <w:rPr>
          <w:rFonts w:ascii="Times New Roman" w:hAnsi="Times New Roman" w:cs="Times New Roman"/>
          <w:i/>
          <w:sz w:val="24"/>
        </w:rPr>
        <w:t>Castillo Petruzzi et</w:t>
      </w:r>
      <w:r w:rsidR="0025105F" w:rsidRPr="00F33937">
        <w:rPr>
          <w:rFonts w:ascii="Times New Roman" w:hAnsi="Times New Roman" w:cs="Times New Roman"/>
          <w:i/>
          <w:sz w:val="24"/>
        </w:rPr>
        <w:t xml:space="preserve"> al v. Peru </w:t>
      </w:r>
      <w:r w:rsidR="0025105F" w:rsidRPr="00F33937">
        <w:rPr>
          <w:rFonts w:ascii="Times New Roman" w:hAnsi="Times New Roman" w:cs="Times New Roman"/>
          <w:sz w:val="24"/>
        </w:rPr>
        <w:t>[1999]</w:t>
      </w:r>
      <w:r w:rsidR="0025105F" w:rsidRPr="00F33937">
        <w:rPr>
          <w:rFonts w:ascii="Times New Roman" w:hAnsi="Times New Roman" w:cs="Times New Roman"/>
          <w:sz w:val="24"/>
          <w:szCs w:val="24"/>
        </w:rPr>
        <w:t>....................</w:t>
      </w:r>
      <w:r>
        <w:rPr>
          <w:rFonts w:ascii="Times New Roman" w:hAnsi="Times New Roman" w:cs="Times New Roman"/>
          <w:sz w:val="24"/>
          <w:szCs w:val="24"/>
        </w:rPr>
        <w:t>..</w:t>
      </w:r>
      <w:r w:rsidR="0025105F" w:rsidRPr="00F33937">
        <w:rPr>
          <w:rFonts w:ascii="Times New Roman" w:hAnsi="Times New Roman" w:cs="Times New Roman"/>
          <w:sz w:val="24"/>
          <w:szCs w:val="24"/>
        </w:rPr>
        <w:t>.......................................................................20</w:t>
      </w:r>
    </w:p>
    <w:p w14:paraId="51D30A68" w14:textId="46D21AD8" w:rsidR="002779AB" w:rsidRPr="00F33937" w:rsidRDefault="002779AB" w:rsidP="007D4D0C">
      <w:pPr>
        <w:pStyle w:val="FootnoteText"/>
        <w:rPr>
          <w:rFonts w:cs="Times New Roman"/>
          <w:sz w:val="32"/>
          <w:szCs w:val="24"/>
        </w:rPr>
      </w:pPr>
      <w:r w:rsidRPr="00F33937">
        <w:rPr>
          <w:sz w:val="24"/>
        </w:rPr>
        <w:t>Inter-American Court of Human Rights Provisional Measures Regarding Ecuador</w:t>
      </w:r>
      <w:r w:rsidR="00341CF8" w:rsidRPr="00F33937">
        <w:rPr>
          <w:sz w:val="24"/>
        </w:rPr>
        <w:t xml:space="preserve"> [2004]</w:t>
      </w:r>
      <w:r w:rsidR="00CA6F29" w:rsidRPr="00F33937">
        <w:rPr>
          <w:rFonts w:cs="Times New Roman"/>
          <w:sz w:val="24"/>
          <w:szCs w:val="24"/>
        </w:rPr>
        <w:t>.</w:t>
      </w:r>
      <w:r w:rsidR="00341CF8" w:rsidRPr="00F33937">
        <w:rPr>
          <w:rFonts w:cs="Times New Roman"/>
          <w:sz w:val="24"/>
          <w:szCs w:val="24"/>
        </w:rPr>
        <w:t>.</w:t>
      </w:r>
      <w:r w:rsidR="00CA6F29" w:rsidRPr="00F33937">
        <w:rPr>
          <w:rFonts w:cs="Times New Roman"/>
          <w:sz w:val="24"/>
          <w:szCs w:val="24"/>
        </w:rPr>
        <w:t xml:space="preserve">.13, </w:t>
      </w:r>
      <w:r w:rsidR="00CE1467" w:rsidRPr="00F33937">
        <w:rPr>
          <w:rFonts w:cs="Times New Roman"/>
          <w:sz w:val="24"/>
          <w:szCs w:val="24"/>
        </w:rPr>
        <w:t>14</w:t>
      </w:r>
    </w:p>
    <w:p w14:paraId="07489416" w14:textId="77777777" w:rsidR="007D4D0C" w:rsidRPr="00F33937" w:rsidRDefault="007D4D0C" w:rsidP="007D4D0C">
      <w:pPr>
        <w:pStyle w:val="FootnoteText"/>
        <w:rPr>
          <w:i/>
          <w:sz w:val="24"/>
          <w:szCs w:val="24"/>
        </w:rPr>
      </w:pPr>
    </w:p>
    <w:p w14:paraId="10F1A7B3" w14:textId="713A0B69" w:rsidR="00407895" w:rsidRPr="00F33937" w:rsidRDefault="009256B9" w:rsidP="00407895">
      <w:pPr>
        <w:contextualSpacing/>
        <w:rPr>
          <w:rFonts w:ascii="Times New Roman" w:hAnsi="Times New Roman" w:cs="Times New Roman"/>
          <w:sz w:val="24"/>
          <w:szCs w:val="24"/>
        </w:rPr>
      </w:pPr>
      <w:r w:rsidRPr="00F33937">
        <w:rPr>
          <w:rFonts w:ascii="Times New Roman" w:hAnsi="Times New Roman" w:cs="Times New Roman"/>
          <w:i/>
          <w:sz w:val="24"/>
          <w:szCs w:val="24"/>
        </w:rPr>
        <w:t>Kichwa Indigenous Peopl</w:t>
      </w:r>
      <w:r w:rsidR="005271F9" w:rsidRPr="00F33937">
        <w:rPr>
          <w:rFonts w:ascii="Times New Roman" w:hAnsi="Times New Roman" w:cs="Times New Roman"/>
          <w:i/>
          <w:sz w:val="24"/>
          <w:szCs w:val="24"/>
        </w:rPr>
        <w:t>e of Sarayaku v. Ecuador</w:t>
      </w:r>
      <w:r w:rsidR="00EE1035" w:rsidRPr="00F33937">
        <w:rPr>
          <w:rFonts w:ascii="Times New Roman" w:hAnsi="Times New Roman" w:cs="Times New Roman"/>
          <w:i/>
          <w:sz w:val="24"/>
          <w:szCs w:val="24"/>
        </w:rPr>
        <w:t xml:space="preserve"> </w:t>
      </w:r>
      <w:r w:rsidR="007B1802" w:rsidRPr="00F33937">
        <w:rPr>
          <w:rFonts w:ascii="Times New Roman" w:hAnsi="Times New Roman" w:cs="Times New Roman"/>
          <w:sz w:val="24"/>
          <w:szCs w:val="24"/>
        </w:rPr>
        <w:t>[2012]</w:t>
      </w:r>
      <w:r w:rsidR="00BA77B8" w:rsidRPr="00F33937">
        <w:rPr>
          <w:rFonts w:ascii="Times New Roman" w:hAnsi="Times New Roman" w:cs="Times New Roman"/>
          <w:sz w:val="24"/>
          <w:szCs w:val="24"/>
        </w:rPr>
        <w:t>...</w:t>
      </w:r>
      <w:r w:rsidR="007B1802" w:rsidRPr="00F33937">
        <w:rPr>
          <w:rFonts w:ascii="Times New Roman" w:hAnsi="Times New Roman" w:cs="Times New Roman"/>
          <w:sz w:val="24"/>
          <w:szCs w:val="24"/>
        </w:rPr>
        <w:t>.</w:t>
      </w:r>
      <w:r w:rsidR="00481761" w:rsidRPr="00F33937">
        <w:rPr>
          <w:rFonts w:ascii="Times New Roman" w:hAnsi="Times New Roman" w:cs="Times New Roman"/>
          <w:sz w:val="24"/>
          <w:szCs w:val="24"/>
        </w:rPr>
        <w:t>...........</w:t>
      </w:r>
      <w:r w:rsidR="00BA77B8" w:rsidRPr="00F33937">
        <w:rPr>
          <w:rFonts w:ascii="Times New Roman" w:hAnsi="Times New Roman" w:cs="Times New Roman"/>
          <w:sz w:val="24"/>
          <w:szCs w:val="24"/>
        </w:rPr>
        <w:t>.....</w:t>
      </w:r>
      <w:r w:rsidR="009F232E" w:rsidRPr="00F33937">
        <w:rPr>
          <w:rFonts w:ascii="Times New Roman" w:hAnsi="Times New Roman" w:cs="Times New Roman"/>
          <w:sz w:val="24"/>
          <w:szCs w:val="24"/>
        </w:rPr>
        <w:t>.................</w:t>
      </w:r>
      <w:r w:rsidR="00BA77B8" w:rsidRPr="00F33937">
        <w:rPr>
          <w:rFonts w:ascii="Times New Roman" w:hAnsi="Times New Roman" w:cs="Times New Roman"/>
          <w:sz w:val="24"/>
          <w:szCs w:val="24"/>
        </w:rPr>
        <w:t>..</w:t>
      </w:r>
      <w:r w:rsidR="00E67B76" w:rsidRPr="00F33937">
        <w:rPr>
          <w:rFonts w:ascii="Times New Roman" w:hAnsi="Times New Roman" w:cs="Times New Roman"/>
          <w:sz w:val="24"/>
          <w:szCs w:val="24"/>
        </w:rPr>
        <w:t>.....</w:t>
      </w:r>
      <w:r w:rsidR="009F232E" w:rsidRPr="00F33937">
        <w:rPr>
          <w:rFonts w:ascii="Times New Roman" w:hAnsi="Times New Roman" w:cs="Times New Roman"/>
          <w:sz w:val="24"/>
          <w:szCs w:val="24"/>
        </w:rPr>
        <w:t>..</w:t>
      </w:r>
      <w:r w:rsidR="009E2783" w:rsidRPr="00F33937">
        <w:rPr>
          <w:rFonts w:ascii="Times New Roman" w:hAnsi="Times New Roman" w:cs="Times New Roman"/>
          <w:sz w:val="24"/>
          <w:szCs w:val="24"/>
        </w:rPr>
        <w:t>14</w:t>
      </w:r>
      <w:r w:rsidR="009F232E" w:rsidRPr="00F33937">
        <w:rPr>
          <w:rFonts w:ascii="Times New Roman" w:hAnsi="Times New Roman" w:cs="Times New Roman"/>
          <w:sz w:val="24"/>
          <w:szCs w:val="24"/>
        </w:rPr>
        <w:t>, 19</w:t>
      </w:r>
      <w:r w:rsidR="009E2783" w:rsidRPr="00F33937">
        <w:rPr>
          <w:rFonts w:ascii="Times New Roman" w:hAnsi="Times New Roman" w:cs="Times New Roman"/>
          <w:sz w:val="24"/>
          <w:szCs w:val="24"/>
        </w:rPr>
        <w:t>, 26</w:t>
      </w:r>
    </w:p>
    <w:p w14:paraId="798876A3" w14:textId="77777777" w:rsidR="004E3A97" w:rsidRPr="00F33937" w:rsidRDefault="004E3A97" w:rsidP="00407895">
      <w:pPr>
        <w:contextualSpacing/>
        <w:rPr>
          <w:rFonts w:ascii="Times New Roman" w:hAnsi="Times New Roman" w:cs="Times New Roman"/>
          <w:i/>
          <w:sz w:val="24"/>
          <w:szCs w:val="24"/>
        </w:rPr>
      </w:pPr>
    </w:p>
    <w:p w14:paraId="599A0236" w14:textId="7D2B3F5B" w:rsidR="001856C7" w:rsidRPr="00F33937" w:rsidRDefault="00481761" w:rsidP="00407895">
      <w:pPr>
        <w:spacing w:line="480" w:lineRule="auto"/>
        <w:contextualSpacing/>
        <w:rPr>
          <w:rFonts w:ascii="Times New Roman" w:hAnsi="Times New Roman" w:cs="Times New Roman"/>
          <w:sz w:val="24"/>
          <w:szCs w:val="24"/>
        </w:rPr>
      </w:pPr>
      <w:r w:rsidRPr="00F33937">
        <w:rPr>
          <w:rFonts w:ascii="Times New Roman" w:hAnsi="Times New Roman" w:cs="Times New Roman"/>
          <w:i/>
          <w:sz w:val="24"/>
          <w:szCs w:val="24"/>
        </w:rPr>
        <w:t>Vel</w:t>
      </w:r>
      <w:r w:rsidR="00A422C2" w:rsidRPr="00F33937">
        <w:rPr>
          <w:rFonts w:ascii="Times New Roman" w:hAnsi="Times New Roman" w:cs="Times New Roman"/>
          <w:i/>
          <w:sz w:val="24"/>
          <w:szCs w:val="24"/>
        </w:rPr>
        <w:t>ásquez-Rodriguez v. Honduras</w:t>
      </w:r>
      <w:r w:rsidR="00A422C2" w:rsidRPr="00F33937">
        <w:rPr>
          <w:rFonts w:ascii="Times New Roman" w:hAnsi="Times New Roman" w:cs="Times New Roman"/>
          <w:sz w:val="24"/>
          <w:szCs w:val="24"/>
        </w:rPr>
        <w:t xml:space="preserve"> [1989] .......................................................</w:t>
      </w:r>
      <w:r w:rsidR="009E2783" w:rsidRPr="00F33937">
        <w:rPr>
          <w:rFonts w:ascii="Times New Roman" w:hAnsi="Times New Roman" w:cs="Times New Roman"/>
          <w:sz w:val="24"/>
          <w:szCs w:val="24"/>
        </w:rPr>
        <w:t>.........</w:t>
      </w:r>
      <w:r w:rsidR="008314D1" w:rsidRPr="00F33937">
        <w:rPr>
          <w:rFonts w:ascii="Times New Roman" w:hAnsi="Times New Roman" w:cs="Times New Roman"/>
          <w:sz w:val="24"/>
          <w:szCs w:val="24"/>
        </w:rPr>
        <w:t>......................8</w:t>
      </w:r>
    </w:p>
    <w:p w14:paraId="3E54E097" w14:textId="77777777" w:rsidR="0002327E" w:rsidRPr="00F33937" w:rsidRDefault="0002327E" w:rsidP="00407895">
      <w:pPr>
        <w:spacing w:line="480" w:lineRule="auto"/>
        <w:contextualSpacing/>
        <w:rPr>
          <w:rFonts w:ascii="Times New Roman" w:hAnsi="Times New Roman" w:cs="Times New Roman"/>
          <w:sz w:val="24"/>
          <w:szCs w:val="24"/>
        </w:rPr>
      </w:pPr>
    </w:p>
    <w:p w14:paraId="763BC40C" w14:textId="77777777" w:rsidR="0002327E" w:rsidRPr="00F33937" w:rsidRDefault="0002327E" w:rsidP="0002327E">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lastRenderedPageBreak/>
        <w:t>Clarification Questions...........................................................................................................passim</w:t>
      </w:r>
    </w:p>
    <w:p w14:paraId="6DDCF83E" w14:textId="77777777" w:rsidR="0002327E" w:rsidRPr="00F33937" w:rsidRDefault="0002327E" w:rsidP="0002327E">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Hypothetical Case...................................................................................................................passim</w:t>
      </w:r>
    </w:p>
    <w:p w14:paraId="3F5362F2" w14:textId="77777777" w:rsidR="00A422C2" w:rsidRDefault="00A422C2" w:rsidP="00407895">
      <w:pPr>
        <w:spacing w:line="480" w:lineRule="auto"/>
        <w:contextualSpacing/>
        <w:rPr>
          <w:rFonts w:ascii="Times New Roman" w:hAnsi="Times New Roman" w:cs="Times New Roman"/>
          <w:sz w:val="24"/>
          <w:szCs w:val="24"/>
        </w:rPr>
      </w:pPr>
    </w:p>
    <w:p w14:paraId="63BB8B83" w14:textId="77777777" w:rsidR="00651649" w:rsidRDefault="00651649" w:rsidP="00407895">
      <w:pPr>
        <w:spacing w:line="480" w:lineRule="auto"/>
        <w:contextualSpacing/>
        <w:rPr>
          <w:rFonts w:ascii="Times New Roman" w:hAnsi="Times New Roman" w:cs="Times New Roman"/>
          <w:sz w:val="24"/>
          <w:szCs w:val="24"/>
        </w:rPr>
      </w:pPr>
    </w:p>
    <w:p w14:paraId="2CE4036C" w14:textId="77777777" w:rsidR="00651649" w:rsidRPr="00F33937" w:rsidRDefault="00651649" w:rsidP="00407895">
      <w:pPr>
        <w:spacing w:line="480" w:lineRule="auto"/>
        <w:contextualSpacing/>
        <w:rPr>
          <w:rFonts w:ascii="Times New Roman" w:hAnsi="Times New Roman" w:cs="Times New Roman"/>
          <w:sz w:val="24"/>
          <w:szCs w:val="24"/>
        </w:rPr>
      </w:pPr>
    </w:p>
    <w:p w14:paraId="0E1AE1F4" w14:textId="69D1F761" w:rsidR="00B958DF" w:rsidRPr="00F33937" w:rsidRDefault="0005552F"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S</w:t>
      </w:r>
      <w:r w:rsidR="001D5DFF" w:rsidRPr="00F33937">
        <w:rPr>
          <w:rFonts w:ascii="Times New Roman" w:hAnsi="Times New Roman" w:cs="Times New Roman"/>
          <w:sz w:val="24"/>
          <w:szCs w:val="24"/>
        </w:rPr>
        <w:t>TATEMENT OF THE FACTS</w:t>
      </w:r>
    </w:p>
    <w:p w14:paraId="385B08E9" w14:textId="77777777" w:rsidR="001913A9" w:rsidRPr="00F33937" w:rsidRDefault="001913A9" w:rsidP="00407895">
      <w:pPr>
        <w:spacing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Factual Background</w:t>
      </w:r>
    </w:p>
    <w:p w14:paraId="4C2E5BE1" w14:textId="583E512A" w:rsidR="001D68F0" w:rsidRPr="00F33937" w:rsidRDefault="001913A9" w:rsidP="00536E3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856AB9" w:rsidRPr="00F33937">
        <w:rPr>
          <w:rFonts w:ascii="Times New Roman" w:hAnsi="Times New Roman" w:cs="Times New Roman"/>
          <w:sz w:val="24"/>
          <w:szCs w:val="24"/>
        </w:rPr>
        <w:t xml:space="preserve">The Republic of Charechia </w:t>
      </w:r>
      <w:r w:rsidR="00596579" w:rsidRPr="00F33937">
        <w:rPr>
          <w:rFonts w:ascii="Times New Roman" w:hAnsi="Times New Roman" w:cs="Times New Roman"/>
          <w:sz w:val="24"/>
          <w:szCs w:val="24"/>
        </w:rPr>
        <w:t>(</w:t>
      </w:r>
      <w:r w:rsidR="00E4679B" w:rsidRPr="00F33937">
        <w:rPr>
          <w:rFonts w:ascii="Times New Roman" w:hAnsi="Times New Roman" w:cs="Times New Roman"/>
          <w:sz w:val="24"/>
          <w:szCs w:val="24"/>
        </w:rPr>
        <w:t xml:space="preserve">“Charechia,” </w:t>
      </w:r>
      <w:r w:rsidR="00596579" w:rsidRPr="00F33937">
        <w:rPr>
          <w:rFonts w:ascii="Times New Roman" w:hAnsi="Times New Roman" w:cs="Times New Roman"/>
          <w:sz w:val="24"/>
          <w:szCs w:val="24"/>
        </w:rPr>
        <w:t xml:space="preserve">“Republic,” the “State”) </w:t>
      </w:r>
      <w:r w:rsidR="00BB7934" w:rsidRPr="00F33937">
        <w:rPr>
          <w:rFonts w:ascii="Times New Roman" w:hAnsi="Times New Roman" w:cs="Times New Roman"/>
          <w:sz w:val="24"/>
          <w:szCs w:val="24"/>
        </w:rPr>
        <w:t xml:space="preserve">of the Americas </w:t>
      </w:r>
      <w:r w:rsidR="00856AB9" w:rsidRPr="00F33937">
        <w:rPr>
          <w:rFonts w:ascii="Times New Roman" w:hAnsi="Times New Roman" w:cs="Times New Roman"/>
          <w:sz w:val="24"/>
          <w:szCs w:val="24"/>
        </w:rPr>
        <w:t>is roughly divided into th</w:t>
      </w:r>
      <w:r w:rsidR="00DE0E44" w:rsidRPr="00F33937">
        <w:rPr>
          <w:rFonts w:ascii="Times New Roman" w:hAnsi="Times New Roman" w:cs="Times New Roman"/>
          <w:sz w:val="24"/>
          <w:szCs w:val="24"/>
        </w:rPr>
        <w:t xml:space="preserve">irds, with its </w:t>
      </w:r>
      <w:r w:rsidR="00562EE1" w:rsidRPr="00F33937">
        <w:rPr>
          <w:rFonts w:ascii="Times New Roman" w:hAnsi="Times New Roman" w:cs="Times New Roman"/>
          <w:sz w:val="24"/>
          <w:szCs w:val="24"/>
        </w:rPr>
        <w:t>poorest province known as</w:t>
      </w:r>
      <w:r w:rsidR="00BB7934" w:rsidRPr="00F33937">
        <w:rPr>
          <w:rFonts w:ascii="Times New Roman" w:hAnsi="Times New Roman" w:cs="Times New Roman"/>
          <w:sz w:val="24"/>
          <w:szCs w:val="24"/>
        </w:rPr>
        <w:t xml:space="preserve"> </w:t>
      </w:r>
      <w:r w:rsidR="00856AB9" w:rsidRPr="00F33937">
        <w:rPr>
          <w:rFonts w:ascii="Times New Roman" w:hAnsi="Times New Roman" w:cs="Times New Roman"/>
          <w:sz w:val="24"/>
          <w:szCs w:val="24"/>
        </w:rPr>
        <w:t>Western Charechia.</w:t>
      </w:r>
      <w:r w:rsidR="006A4723" w:rsidRPr="00F33937">
        <w:rPr>
          <w:rStyle w:val="FootnoteReference"/>
          <w:rFonts w:ascii="Times New Roman" w:hAnsi="Times New Roman" w:cs="Times New Roman"/>
          <w:sz w:val="24"/>
          <w:szCs w:val="24"/>
        </w:rPr>
        <w:footnoteReference w:id="1"/>
      </w:r>
      <w:r w:rsidR="00856AB9" w:rsidRPr="00F33937">
        <w:rPr>
          <w:rFonts w:ascii="Times New Roman" w:hAnsi="Times New Roman" w:cs="Times New Roman"/>
          <w:sz w:val="24"/>
          <w:szCs w:val="24"/>
        </w:rPr>
        <w:t xml:space="preserve"> </w:t>
      </w:r>
      <w:r w:rsidR="00BF64B9" w:rsidRPr="00F33937">
        <w:rPr>
          <w:rFonts w:ascii="Times New Roman" w:hAnsi="Times New Roman" w:cs="Times New Roman"/>
          <w:sz w:val="24"/>
          <w:szCs w:val="24"/>
        </w:rPr>
        <w:t xml:space="preserve"> </w:t>
      </w:r>
      <w:r w:rsidR="006C6E71" w:rsidRPr="00F33937">
        <w:rPr>
          <w:rFonts w:ascii="Times New Roman" w:hAnsi="Times New Roman" w:cs="Times New Roman"/>
          <w:sz w:val="24"/>
          <w:szCs w:val="24"/>
        </w:rPr>
        <w:t>Wealth inequality is extensive</w:t>
      </w:r>
      <w:r w:rsidR="00DB47FC" w:rsidRPr="00F33937">
        <w:rPr>
          <w:rFonts w:ascii="Times New Roman" w:hAnsi="Times New Roman" w:cs="Times New Roman"/>
          <w:sz w:val="24"/>
          <w:szCs w:val="24"/>
        </w:rPr>
        <w:t xml:space="preserve"> among its </w:t>
      </w:r>
      <w:r w:rsidR="00562EE1" w:rsidRPr="00F33937">
        <w:rPr>
          <w:rFonts w:ascii="Times New Roman" w:hAnsi="Times New Roman" w:cs="Times New Roman"/>
          <w:sz w:val="24"/>
          <w:szCs w:val="24"/>
        </w:rPr>
        <w:t>three internal states</w:t>
      </w:r>
      <w:r w:rsidR="006C6E71" w:rsidRPr="00F33937">
        <w:rPr>
          <w:rFonts w:ascii="Times New Roman" w:hAnsi="Times New Roman" w:cs="Times New Roman"/>
          <w:sz w:val="24"/>
          <w:szCs w:val="24"/>
        </w:rPr>
        <w:t>.</w:t>
      </w:r>
      <w:r w:rsidR="00760BEE" w:rsidRPr="00F33937">
        <w:rPr>
          <w:rStyle w:val="FootnoteReference"/>
          <w:rFonts w:ascii="Times New Roman" w:hAnsi="Times New Roman" w:cs="Times New Roman"/>
          <w:sz w:val="24"/>
          <w:szCs w:val="24"/>
        </w:rPr>
        <w:footnoteReference w:id="2"/>
      </w:r>
      <w:r w:rsidR="006C6E71" w:rsidRPr="00F33937">
        <w:rPr>
          <w:rFonts w:ascii="Times New Roman" w:hAnsi="Times New Roman" w:cs="Times New Roman"/>
          <w:sz w:val="24"/>
          <w:szCs w:val="24"/>
        </w:rPr>
        <w:t xml:space="preserve"> </w:t>
      </w:r>
    </w:p>
    <w:p w14:paraId="535C290D" w14:textId="4A9A800C" w:rsidR="00DC409F" w:rsidRPr="00F33937" w:rsidRDefault="001D68F0" w:rsidP="00536E3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6506A9" w:rsidRPr="00F33937">
        <w:rPr>
          <w:rFonts w:ascii="Times New Roman" w:hAnsi="Times New Roman" w:cs="Times New Roman"/>
          <w:sz w:val="24"/>
          <w:szCs w:val="24"/>
        </w:rPr>
        <w:t>While this constitutional federa</w:t>
      </w:r>
      <w:r w:rsidRPr="00F33937">
        <w:rPr>
          <w:rFonts w:ascii="Times New Roman" w:hAnsi="Times New Roman" w:cs="Times New Roman"/>
          <w:sz w:val="24"/>
          <w:szCs w:val="24"/>
        </w:rPr>
        <w:t xml:space="preserve">tive republic echoes </w:t>
      </w:r>
      <w:r w:rsidR="00E4679B" w:rsidRPr="00F33937">
        <w:rPr>
          <w:rFonts w:ascii="Times New Roman" w:hAnsi="Times New Roman" w:cs="Times New Roman"/>
          <w:sz w:val="24"/>
          <w:szCs w:val="24"/>
        </w:rPr>
        <w:t xml:space="preserve">features of </w:t>
      </w:r>
      <w:r w:rsidRPr="00F33937">
        <w:rPr>
          <w:rFonts w:ascii="Times New Roman" w:hAnsi="Times New Roman" w:cs="Times New Roman"/>
          <w:sz w:val="24"/>
          <w:szCs w:val="24"/>
        </w:rPr>
        <w:t xml:space="preserve">other </w:t>
      </w:r>
      <w:r w:rsidR="007909BE" w:rsidRPr="00F33937">
        <w:rPr>
          <w:rFonts w:ascii="Times New Roman" w:hAnsi="Times New Roman" w:cs="Times New Roman"/>
          <w:sz w:val="24"/>
          <w:szCs w:val="24"/>
        </w:rPr>
        <w:t>3-branch government nations</w:t>
      </w:r>
      <w:r w:rsidR="006506A9" w:rsidRPr="00F33937">
        <w:rPr>
          <w:rFonts w:ascii="Times New Roman" w:hAnsi="Times New Roman" w:cs="Times New Roman"/>
          <w:sz w:val="24"/>
          <w:szCs w:val="24"/>
        </w:rPr>
        <w:t>,</w:t>
      </w:r>
      <w:r w:rsidR="006506A9" w:rsidRPr="00F33937">
        <w:rPr>
          <w:rStyle w:val="FootnoteReference"/>
          <w:rFonts w:ascii="Times New Roman" w:hAnsi="Times New Roman" w:cs="Times New Roman"/>
          <w:sz w:val="24"/>
          <w:szCs w:val="24"/>
        </w:rPr>
        <w:footnoteReference w:id="3"/>
      </w:r>
      <w:r w:rsidR="006506A9" w:rsidRPr="00F33937">
        <w:rPr>
          <w:rFonts w:ascii="Times New Roman" w:hAnsi="Times New Roman" w:cs="Times New Roman"/>
          <w:sz w:val="24"/>
          <w:szCs w:val="24"/>
        </w:rPr>
        <w:t xml:space="preserve"> </w:t>
      </w:r>
      <w:r w:rsidR="00583295">
        <w:rPr>
          <w:rFonts w:ascii="Times New Roman" w:hAnsi="Times New Roman" w:cs="Times New Roman"/>
          <w:sz w:val="24"/>
          <w:szCs w:val="24"/>
        </w:rPr>
        <w:t>there are key differences.  I</w:t>
      </w:r>
      <w:r w:rsidR="006C6E71" w:rsidRPr="00F33937">
        <w:rPr>
          <w:rFonts w:ascii="Times New Roman" w:hAnsi="Times New Roman" w:cs="Times New Roman"/>
          <w:sz w:val="24"/>
          <w:szCs w:val="24"/>
        </w:rPr>
        <w:t>ts legislature</w:t>
      </w:r>
      <w:r w:rsidR="00583295">
        <w:rPr>
          <w:rFonts w:ascii="Times New Roman" w:hAnsi="Times New Roman" w:cs="Times New Roman"/>
          <w:sz w:val="24"/>
          <w:szCs w:val="24"/>
        </w:rPr>
        <w:t>, for example,</w:t>
      </w:r>
      <w:r w:rsidR="006C6E71" w:rsidRPr="00F33937">
        <w:rPr>
          <w:rFonts w:ascii="Times New Roman" w:hAnsi="Times New Roman" w:cs="Times New Roman"/>
          <w:sz w:val="24"/>
          <w:szCs w:val="24"/>
        </w:rPr>
        <w:t xml:space="preserve"> poses</w:t>
      </w:r>
      <w:r w:rsidR="00583295">
        <w:rPr>
          <w:rFonts w:ascii="Times New Roman" w:hAnsi="Times New Roman" w:cs="Times New Roman"/>
          <w:sz w:val="24"/>
          <w:szCs w:val="24"/>
        </w:rPr>
        <w:t xml:space="preserve"> </w:t>
      </w:r>
      <w:r w:rsidRPr="00F33937">
        <w:rPr>
          <w:rFonts w:ascii="Times New Roman" w:hAnsi="Times New Roman" w:cs="Times New Roman"/>
          <w:sz w:val="24"/>
          <w:szCs w:val="24"/>
        </w:rPr>
        <w:t xml:space="preserve">an </w:t>
      </w:r>
      <w:r w:rsidR="006C6E71" w:rsidRPr="00F33937">
        <w:rPr>
          <w:rFonts w:ascii="Times New Roman" w:hAnsi="Times New Roman" w:cs="Times New Roman"/>
          <w:sz w:val="24"/>
          <w:szCs w:val="24"/>
        </w:rPr>
        <w:t xml:space="preserve">at-large seats system, </w:t>
      </w:r>
      <w:r w:rsidRPr="00F33937">
        <w:rPr>
          <w:rFonts w:ascii="Times New Roman" w:hAnsi="Times New Roman" w:cs="Times New Roman"/>
          <w:sz w:val="24"/>
          <w:szCs w:val="24"/>
        </w:rPr>
        <w:t>instead of any one seat being attached to</w:t>
      </w:r>
      <w:r w:rsidR="007909BE" w:rsidRPr="00F33937">
        <w:rPr>
          <w:rFonts w:ascii="Times New Roman" w:hAnsi="Times New Roman" w:cs="Times New Roman"/>
          <w:sz w:val="24"/>
          <w:szCs w:val="24"/>
        </w:rPr>
        <w:t xml:space="preserve"> a </w:t>
      </w:r>
      <w:r w:rsidR="006C6E71" w:rsidRPr="00F33937">
        <w:rPr>
          <w:rFonts w:ascii="Times New Roman" w:hAnsi="Times New Roman" w:cs="Times New Roman"/>
          <w:sz w:val="24"/>
          <w:szCs w:val="24"/>
        </w:rPr>
        <w:t>specific province.</w:t>
      </w:r>
      <w:r w:rsidR="006C6E71" w:rsidRPr="00F33937">
        <w:rPr>
          <w:rStyle w:val="FootnoteReference"/>
          <w:rFonts w:ascii="Times New Roman" w:hAnsi="Times New Roman" w:cs="Times New Roman"/>
          <w:sz w:val="24"/>
          <w:szCs w:val="24"/>
        </w:rPr>
        <w:footnoteReference w:id="4"/>
      </w:r>
      <w:r w:rsidR="006C6E71" w:rsidRPr="00F33937">
        <w:rPr>
          <w:rFonts w:ascii="Times New Roman" w:hAnsi="Times New Roman" w:cs="Times New Roman"/>
          <w:sz w:val="24"/>
          <w:szCs w:val="24"/>
        </w:rPr>
        <w:t xml:space="preserve"> </w:t>
      </w:r>
      <w:r w:rsidRPr="00F33937">
        <w:rPr>
          <w:rFonts w:ascii="Times New Roman" w:hAnsi="Times New Roman" w:cs="Times New Roman"/>
          <w:sz w:val="24"/>
          <w:szCs w:val="24"/>
        </w:rPr>
        <w:t xml:space="preserve"> </w:t>
      </w:r>
      <w:r w:rsidR="00B228E4" w:rsidRPr="00F33937">
        <w:rPr>
          <w:rFonts w:ascii="Times New Roman" w:hAnsi="Times New Roman" w:cs="Times New Roman"/>
          <w:sz w:val="24"/>
          <w:szCs w:val="24"/>
        </w:rPr>
        <w:t>R</w:t>
      </w:r>
      <w:r w:rsidR="006C6E71" w:rsidRPr="00F33937">
        <w:rPr>
          <w:rFonts w:ascii="Times New Roman" w:hAnsi="Times New Roman" w:cs="Times New Roman"/>
          <w:sz w:val="24"/>
          <w:szCs w:val="24"/>
        </w:rPr>
        <w:t>ecently</w:t>
      </w:r>
      <w:r w:rsidR="0097714B" w:rsidRPr="00F33937">
        <w:rPr>
          <w:rFonts w:ascii="Times New Roman" w:hAnsi="Times New Roman" w:cs="Times New Roman"/>
          <w:sz w:val="24"/>
          <w:szCs w:val="24"/>
        </w:rPr>
        <w:t>, a constitutional</w:t>
      </w:r>
      <w:r w:rsidR="00B228E4" w:rsidRPr="00F33937">
        <w:rPr>
          <w:rFonts w:ascii="Times New Roman" w:hAnsi="Times New Roman" w:cs="Times New Roman"/>
          <w:sz w:val="24"/>
          <w:szCs w:val="24"/>
        </w:rPr>
        <w:t xml:space="preserve"> amendment to alter the </w:t>
      </w:r>
      <w:r w:rsidR="00182713" w:rsidRPr="00F33937">
        <w:rPr>
          <w:rFonts w:ascii="Times New Roman" w:hAnsi="Times New Roman" w:cs="Times New Roman"/>
          <w:sz w:val="24"/>
          <w:szCs w:val="24"/>
        </w:rPr>
        <w:t xml:space="preserve">Charechian </w:t>
      </w:r>
      <w:r w:rsidR="00B228E4" w:rsidRPr="00F33937">
        <w:rPr>
          <w:rFonts w:ascii="Times New Roman" w:hAnsi="Times New Roman" w:cs="Times New Roman"/>
          <w:sz w:val="24"/>
          <w:szCs w:val="24"/>
        </w:rPr>
        <w:t>presidential term limit</w:t>
      </w:r>
      <w:r w:rsidR="0097714B" w:rsidRPr="00F33937">
        <w:rPr>
          <w:rFonts w:ascii="Times New Roman" w:hAnsi="Times New Roman" w:cs="Times New Roman"/>
          <w:sz w:val="24"/>
          <w:szCs w:val="24"/>
        </w:rPr>
        <w:t xml:space="preserve"> has been proposed, whose current legislation</w:t>
      </w:r>
      <w:r w:rsidR="00A06222" w:rsidRPr="00F33937">
        <w:rPr>
          <w:rFonts w:ascii="Times New Roman" w:hAnsi="Times New Roman" w:cs="Times New Roman"/>
          <w:sz w:val="24"/>
          <w:szCs w:val="24"/>
        </w:rPr>
        <w:t xml:space="preserve"> permits only</w:t>
      </w:r>
      <w:r w:rsidR="00B228E4" w:rsidRPr="00F33937">
        <w:rPr>
          <w:rFonts w:ascii="Times New Roman" w:hAnsi="Times New Roman" w:cs="Times New Roman"/>
          <w:sz w:val="24"/>
          <w:szCs w:val="24"/>
        </w:rPr>
        <w:t xml:space="preserve"> two terms.</w:t>
      </w:r>
      <w:r w:rsidR="00B228E4" w:rsidRPr="00F33937">
        <w:rPr>
          <w:rStyle w:val="FootnoteReference"/>
          <w:rFonts w:ascii="Times New Roman" w:hAnsi="Times New Roman" w:cs="Times New Roman"/>
          <w:sz w:val="24"/>
          <w:szCs w:val="24"/>
        </w:rPr>
        <w:footnoteReference w:id="5"/>
      </w:r>
      <w:r w:rsidR="006C6E71" w:rsidRPr="00F33937">
        <w:rPr>
          <w:rFonts w:ascii="Times New Roman" w:hAnsi="Times New Roman" w:cs="Times New Roman"/>
          <w:sz w:val="24"/>
          <w:szCs w:val="24"/>
        </w:rPr>
        <w:t xml:space="preserve"> </w:t>
      </w:r>
      <w:r w:rsidR="005928D7" w:rsidRPr="00F33937">
        <w:rPr>
          <w:rFonts w:ascii="Times New Roman" w:hAnsi="Times New Roman" w:cs="Times New Roman"/>
          <w:sz w:val="24"/>
          <w:szCs w:val="24"/>
        </w:rPr>
        <w:t xml:space="preserve"> Other democratic issues </w:t>
      </w:r>
      <w:r w:rsidR="00DB47FC" w:rsidRPr="00F33937">
        <w:rPr>
          <w:rFonts w:ascii="Times New Roman" w:hAnsi="Times New Roman" w:cs="Times New Roman"/>
          <w:sz w:val="24"/>
          <w:szCs w:val="24"/>
        </w:rPr>
        <w:t xml:space="preserve">for the Republic </w:t>
      </w:r>
      <w:r w:rsidR="005928D7" w:rsidRPr="00F33937">
        <w:rPr>
          <w:rFonts w:ascii="Times New Roman" w:hAnsi="Times New Roman" w:cs="Times New Roman"/>
          <w:sz w:val="24"/>
          <w:szCs w:val="24"/>
        </w:rPr>
        <w:t xml:space="preserve">involve </w:t>
      </w:r>
      <w:r w:rsidR="00A06222" w:rsidRPr="00F33937">
        <w:rPr>
          <w:rFonts w:ascii="Times New Roman" w:hAnsi="Times New Roman" w:cs="Times New Roman"/>
          <w:sz w:val="24"/>
          <w:szCs w:val="24"/>
        </w:rPr>
        <w:t xml:space="preserve">history of </w:t>
      </w:r>
      <w:r w:rsidR="005928D7" w:rsidRPr="00F33937">
        <w:rPr>
          <w:rFonts w:ascii="Times New Roman" w:hAnsi="Times New Roman" w:cs="Times New Roman"/>
          <w:sz w:val="24"/>
          <w:szCs w:val="24"/>
        </w:rPr>
        <w:t>oversight by outside agencies</w:t>
      </w:r>
      <w:r w:rsidR="00CF75EB" w:rsidRPr="00F33937">
        <w:rPr>
          <w:rFonts w:ascii="Times New Roman" w:hAnsi="Times New Roman" w:cs="Times New Roman"/>
          <w:sz w:val="24"/>
          <w:szCs w:val="24"/>
        </w:rPr>
        <w:t>,</w:t>
      </w:r>
      <w:r w:rsidR="00DB47FC" w:rsidRPr="00F33937">
        <w:rPr>
          <w:rFonts w:ascii="Times New Roman" w:hAnsi="Times New Roman" w:cs="Times New Roman"/>
          <w:sz w:val="24"/>
          <w:szCs w:val="24"/>
        </w:rPr>
        <w:t xml:space="preserve"> such as </w:t>
      </w:r>
      <w:r w:rsidR="005928D7" w:rsidRPr="00F33937">
        <w:rPr>
          <w:rFonts w:ascii="Times New Roman" w:hAnsi="Times New Roman" w:cs="Times New Roman"/>
          <w:sz w:val="24"/>
          <w:szCs w:val="24"/>
        </w:rPr>
        <w:t>the Organiza</w:t>
      </w:r>
      <w:r w:rsidR="00DB47FC" w:rsidRPr="00F33937">
        <w:rPr>
          <w:rFonts w:ascii="Times New Roman" w:hAnsi="Times New Roman" w:cs="Times New Roman"/>
          <w:sz w:val="24"/>
          <w:szCs w:val="24"/>
        </w:rPr>
        <w:t>tion of the American States (</w:t>
      </w:r>
      <w:r w:rsidR="005928D7" w:rsidRPr="00F33937">
        <w:rPr>
          <w:rFonts w:ascii="Times New Roman" w:hAnsi="Times New Roman" w:cs="Times New Roman"/>
          <w:sz w:val="24"/>
          <w:szCs w:val="24"/>
        </w:rPr>
        <w:t>“OAS”) and the United Nations</w:t>
      </w:r>
      <w:r w:rsidR="00182713" w:rsidRPr="00F33937">
        <w:rPr>
          <w:rFonts w:ascii="Times New Roman" w:hAnsi="Times New Roman" w:cs="Times New Roman"/>
          <w:sz w:val="24"/>
          <w:szCs w:val="24"/>
        </w:rPr>
        <w:t xml:space="preserve"> (“UN”)</w:t>
      </w:r>
      <w:r w:rsidR="00CF75EB" w:rsidRPr="00F33937">
        <w:rPr>
          <w:rFonts w:ascii="Times New Roman" w:hAnsi="Times New Roman" w:cs="Times New Roman"/>
          <w:sz w:val="24"/>
          <w:szCs w:val="24"/>
        </w:rPr>
        <w:t xml:space="preserve">. </w:t>
      </w:r>
      <w:r w:rsidR="00583295">
        <w:rPr>
          <w:rFonts w:ascii="Times New Roman" w:hAnsi="Times New Roman" w:cs="Times New Roman"/>
          <w:sz w:val="24"/>
          <w:szCs w:val="24"/>
        </w:rPr>
        <w:t xml:space="preserve"> This o</w:t>
      </w:r>
      <w:r w:rsidR="00CF75EB" w:rsidRPr="00F33937">
        <w:rPr>
          <w:rFonts w:ascii="Times New Roman" w:hAnsi="Times New Roman" w:cs="Times New Roman"/>
          <w:sz w:val="24"/>
          <w:szCs w:val="24"/>
        </w:rPr>
        <w:t>versight was</w:t>
      </w:r>
      <w:r w:rsidR="005928D7" w:rsidRPr="00F33937">
        <w:rPr>
          <w:rFonts w:ascii="Times New Roman" w:hAnsi="Times New Roman" w:cs="Times New Roman"/>
          <w:sz w:val="24"/>
          <w:szCs w:val="24"/>
        </w:rPr>
        <w:t xml:space="preserve"> </w:t>
      </w:r>
      <w:r w:rsidR="00182713" w:rsidRPr="00F33937">
        <w:rPr>
          <w:rFonts w:ascii="Times New Roman" w:hAnsi="Times New Roman" w:cs="Times New Roman"/>
          <w:sz w:val="24"/>
          <w:szCs w:val="24"/>
        </w:rPr>
        <w:t xml:space="preserve">conducted </w:t>
      </w:r>
      <w:r w:rsidR="00524115" w:rsidRPr="00F33937">
        <w:rPr>
          <w:rFonts w:ascii="Times New Roman" w:hAnsi="Times New Roman" w:cs="Times New Roman"/>
          <w:sz w:val="24"/>
          <w:szCs w:val="24"/>
        </w:rPr>
        <w:t>u</w:t>
      </w:r>
      <w:r w:rsidR="00C16160">
        <w:rPr>
          <w:rFonts w:ascii="Times New Roman" w:hAnsi="Times New Roman" w:cs="Times New Roman"/>
          <w:sz w:val="24"/>
          <w:szCs w:val="24"/>
        </w:rPr>
        <w:t>pon the government of Charechia</w:t>
      </w:r>
      <w:r w:rsidR="00524115" w:rsidRPr="00F33937">
        <w:rPr>
          <w:rFonts w:ascii="Times New Roman" w:hAnsi="Times New Roman" w:cs="Times New Roman"/>
          <w:sz w:val="24"/>
          <w:szCs w:val="24"/>
        </w:rPr>
        <w:t xml:space="preserve"> </w:t>
      </w:r>
      <w:r w:rsidR="005928D7" w:rsidRPr="00F33937">
        <w:rPr>
          <w:rFonts w:ascii="Times New Roman" w:hAnsi="Times New Roman" w:cs="Times New Roman"/>
          <w:sz w:val="24"/>
          <w:szCs w:val="24"/>
        </w:rPr>
        <w:t>due to accusations of elector</w:t>
      </w:r>
      <w:r w:rsidRPr="00F33937">
        <w:rPr>
          <w:rFonts w:ascii="Times New Roman" w:hAnsi="Times New Roman" w:cs="Times New Roman"/>
          <w:sz w:val="24"/>
          <w:szCs w:val="24"/>
        </w:rPr>
        <w:t>al</w:t>
      </w:r>
      <w:r w:rsidR="005928D7" w:rsidRPr="00F33937">
        <w:rPr>
          <w:rFonts w:ascii="Times New Roman" w:hAnsi="Times New Roman" w:cs="Times New Roman"/>
          <w:sz w:val="24"/>
          <w:szCs w:val="24"/>
        </w:rPr>
        <w:t xml:space="preserve"> fraud.</w:t>
      </w:r>
      <w:r w:rsidR="005928D7" w:rsidRPr="00F33937">
        <w:rPr>
          <w:rStyle w:val="FootnoteReference"/>
          <w:rFonts w:ascii="Times New Roman" w:hAnsi="Times New Roman" w:cs="Times New Roman"/>
          <w:sz w:val="24"/>
          <w:szCs w:val="24"/>
        </w:rPr>
        <w:footnoteReference w:id="6"/>
      </w:r>
      <w:r w:rsidR="005928D7" w:rsidRPr="00F33937">
        <w:rPr>
          <w:rFonts w:ascii="Times New Roman" w:hAnsi="Times New Roman" w:cs="Times New Roman"/>
          <w:sz w:val="24"/>
          <w:szCs w:val="24"/>
        </w:rPr>
        <w:t xml:space="preserve"> </w:t>
      </w:r>
      <w:r w:rsidR="000545E6" w:rsidRPr="00F33937">
        <w:rPr>
          <w:rFonts w:ascii="Times New Roman" w:hAnsi="Times New Roman" w:cs="Times New Roman"/>
          <w:sz w:val="24"/>
          <w:szCs w:val="24"/>
        </w:rPr>
        <w:t xml:space="preserve"> </w:t>
      </w:r>
    </w:p>
    <w:p w14:paraId="39554EEC" w14:textId="74B1091D" w:rsidR="00302378" w:rsidRPr="00F33937" w:rsidRDefault="00DC409F" w:rsidP="00536E3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lastRenderedPageBreak/>
        <w:tab/>
      </w:r>
      <w:r w:rsidR="000545E6" w:rsidRPr="00F33937">
        <w:rPr>
          <w:rFonts w:ascii="Times New Roman" w:hAnsi="Times New Roman" w:cs="Times New Roman"/>
          <w:sz w:val="24"/>
          <w:szCs w:val="24"/>
        </w:rPr>
        <w:t>S</w:t>
      </w:r>
      <w:r w:rsidR="00A06222" w:rsidRPr="00F33937">
        <w:rPr>
          <w:rFonts w:ascii="Times New Roman" w:hAnsi="Times New Roman" w:cs="Times New Roman"/>
          <w:sz w:val="24"/>
          <w:szCs w:val="24"/>
        </w:rPr>
        <w:t>ince the 12</w:t>
      </w:r>
      <w:r w:rsidR="00A06222" w:rsidRPr="00F33937">
        <w:rPr>
          <w:rFonts w:ascii="Times New Roman" w:hAnsi="Times New Roman" w:cs="Times New Roman"/>
          <w:sz w:val="24"/>
          <w:szCs w:val="24"/>
          <w:vertAlign w:val="superscript"/>
        </w:rPr>
        <w:t>th</w:t>
      </w:r>
      <w:r w:rsidR="00A06222" w:rsidRPr="00F33937">
        <w:rPr>
          <w:rFonts w:ascii="Times New Roman" w:hAnsi="Times New Roman" w:cs="Times New Roman"/>
          <w:sz w:val="24"/>
          <w:szCs w:val="24"/>
        </w:rPr>
        <w:t xml:space="preserve"> Century</w:t>
      </w:r>
      <w:r w:rsidR="000545E6" w:rsidRPr="00F33937">
        <w:rPr>
          <w:rFonts w:ascii="Times New Roman" w:hAnsi="Times New Roman" w:cs="Times New Roman"/>
          <w:sz w:val="24"/>
          <w:szCs w:val="24"/>
        </w:rPr>
        <w:t xml:space="preserve"> the family of the current president </w:t>
      </w:r>
      <w:r w:rsidR="00C75A86" w:rsidRPr="00F33937">
        <w:rPr>
          <w:rFonts w:ascii="Times New Roman" w:hAnsi="Times New Roman" w:cs="Times New Roman"/>
          <w:sz w:val="24"/>
          <w:szCs w:val="24"/>
        </w:rPr>
        <w:t>has dominated the country, cul</w:t>
      </w:r>
      <w:r w:rsidR="005603E1">
        <w:rPr>
          <w:rFonts w:ascii="Times New Roman" w:hAnsi="Times New Roman" w:cs="Times New Roman"/>
          <w:sz w:val="24"/>
          <w:szCs w:val="24"/>
        </w:rPr>
        <w:t>turally, socially, economically</w:t>
      </w:r>
      <w:r w:rsidR="00C75A86" w:rsidRPr="00F33937">
        <w:rPr>
          <w:rFonts w:ascii="Times New Roman" w:hAnsi="Times New Roman" w:cs="Times New Roman"/>
          <w:sz w:val="24"/>
          <w:szCs w:val="24"/>
        </w:rPr>
        <w:t xml:space="preserve"> and politically.</w:t>
      </w:r>
      <w:r w:rsidR="001D68F0" w:rsidRPr="00F33937">
        <w:rPr>
          <w:rStyle w:val="FootnoteReference"/>
          <w:rFonts w:ascii="Times New Roman" w:hAnsi="Times New Roman" w:cs="Times New Roman"/>
          <w:sz w:val="24"/>
          <w:szCs w:val="24"/>
        </w:rPr>
        <w:footnoteReference w:id="7"/>
      </w:r>
      <w:r w:rsidR="00C75A86" w:rsidRPr="00F33937">
        <w:rPr>
          <w:rFonts w:ascii="Times New Roman" w:hAnsi="Times New Roman" w:cs="Times New Roman"/>
          <w:sz w:val="24"/>
          <w:szCs w:val="24"/>
        </w:rPr>
        <w:t xml:space="preserve">  </w:t>
      </w:r>
      <w:r w:rsidR="00CC4E27" w:rsidRPr="00F33937">
        <w:rPr>
          <w:rFonts w:ascii="Times New Roman" w:hAnsi="Times New Roman" w:cs="Times New Roman"/>
          <w:sz w:val="24"/>
          <w:szCs w:val="24"/>
        </w:rPr>
        <w:t xml:space="preserve">Suspicions of corruption and lack of transparency have plagued this presidency and the Executive’s family, </w:t>
      </w:r>
      <w:r w:rsidR="005C7C7C" w:rsidRPr="00F33937">
        <w:rPr>
          <w:rFonts w:ascii="Times New Roman" w:hAnsi="Times New Roman" w:cs="Times New Roman"/>
          <w:sz w:val="24"/>
          <w:szCs w:val="24"/>
        </w:rPr>
        <w:t>culminating in a</w:t>
      </w:r>
      <w:r w:rsidR="00CC4E27" w:rsidRPr="00F33937">
        <w:rPr>
          <w:rFonts w:ascii="Times New Roman" w:hAnsi="Times New Roman" w:cs="Times New Roman"/>
          <w:sz w:val="24"/>
          <w:szCs w:val="24"/>
        </w:rPr>
        <w:t xml:space="preserve"> secessionist movement </w:t>
      </w:r>
      <w:r w:rsidR="002A7DC4" w:rsidRPr="00F33937">
        <w:rPr>
          <w:rFonts w:ascii="Times New Roman" w:hAnsi="Times New Roman" w:cs="Times New Roman"/>
          <w:sz w:val="24"/>
          <w:szCs w:val="24"/>
        </w:rPr>
        <w:t>springing up in recent years.</w:t>
      </w:r>
      <w:r w:rsidR="00912449" w:rsidRPr="00F33937">
        <w:rPr>
          <w:rStyle w:val="FootnoteReference"/>
          <w:rFonts w:ascii="Times New Roman" w:hAnsi="Times New Roman" w:cs="Times New Roman"/>
          <w:sz w:val="24"/>
          <w:szCs w:val="24"/>
        </w:rPr>
        <w:footnoteReference w:id="8"/>
      </w:r>
      <w:r w:rsidR="002A7DC4" w:rsidRPr="00F33937">
        <w:rPr>
          <w:rFonts w:ascii="Times New Roman" w:hAnsi="Times New Roman" w:cs="Times New Roman"/>
          <w:sz w:val="24"/>
          <w:szCs w:val="24"/>
        </w:rPr>
        <w:t xml:space="preserve">  That movement</w:t>
      </w:r>
      <w:r w:rsidRPr="00F33937">
        <w:rPr>
          <w:rFonts w:ascii="Times New Roman" w:hAnsi="Times New Roman" w:cs="Times New Roman"/>
          <w:sz w:val="24"/>
          <w:szCs w:val="24"/>
        </w:rPr>
        <w:t xml:space="preserve"> is </w:t>
      </w:r>
      <w:r w:rsidR="00473E2F" w:rsidRPr="00F33937">
        <w:rPr>
          <w:rFonts w:ascii="Times New Roman" w:hAnsi="Times New Roman" w:cs="Times New Roman"/>
          <w:sz w:val="24"/>
          <w:szCs w:val="24"/>
        </w:rPr>
        <w:t xml:space="preserve">led </w:t>
      </w:r>
      <w:r w:rsidR="00CC4E27" w:rsidRPr="00F33937">
        <w:rPr>
          <w:rFonts w:ascii="Times New Roman" w:hAnsi="Times New Roman" w:cs="Times New Roman"/>
          <w:sz w:val="24"/>
          <w:szCs w:val="24"/>
        </w:rPr>
        <w:t>by the northernmost state’s political dissidents, the Shield of the North</w:t>
      </w:r>
      <w:r w:rsidR="00562947" w:rsidRPr="00F33937">
        <w:rPr>
          <w:rFonts w:ascii="Times New Roman" w:hAnsi="Times New Roman" w:cs="Times New Roman"/>
          <w:sz w:val="24"/>
          <w:szCs w:val="24"/>
        </w:rPr>
        <w:t xml:space="preserve"> (</w:t>
      </w:r>
      <w:r w:rsidR="002A7DC4" w:rsidRPr="00F33937">
        <w:rPr>
          <w:rFonts w:ascii="Times New Roman" w:hAnsi="Times New Roman" w:cs="Times New Roman"/>
          <w:sz w:val="24"/>
          <w:szCs w:val="24"/>
        </w:rPr>
        <w:t xml:space="preserve">the </w:t>
      </w:r>
      <w:r w:rsidR="00562947" w:rsidRPr="00F33937">
        <w:rPr>
          <w:rFonts w:ascii="Times New Roman" w:hAnsi="Times New Roman" w:cs="Times New Roman"/>
          <w:sz w:val="24"/>
          <w:szCs w:val="24"/>
        </w:rPr>
        <w:t>“Shield”)</w:t>
      </w:r>
      <w:r w:rsidR="00CC4E27" w:rsidRPr="00F33937">
        <w:rPr>
          <w:rFonts w:ascii="Times New Roman" w:hAnsi="Times New Roman" w:cs="Times New Roman"/>
          <w:sz w:val="24"/>
          <w:szCs w:val="24"/>
        </w:rPr>
        <w:t>.</w:t>
      </w:r>
      <w:r w:rsidR="009F63E7" w:rsidRPr="00F33937">
        <w:rPr>
          <w:rStyle w:val="FootnoteReference"/>
          <w:rFonts w:ascii="Times New Roman" w:hAnsi="Times New Roman" w:cs="Times New Roman"/>
          <w:sz w:val="24"/>
          <w:szCs w:val="24"/>
        </w:rPr>
        <w:footnoteReference w:id="9"/>
      </w:r>
      <w:r w:rsidR="00963E78" w:rsidRPr="00F33937">
        <w:rPr>
          <w:rFonts w:ascii="Times New Roman" w:hAnsi="Times New Roman" w:cs="Times New Roman"/>
          <w:sz w:val="24"/>
          <w:szCs w:val="24"/>
        </w:rPr>
        <w:t xml:space="preserve">  </w:t>
      </w:r>
    </w:p>
    <w:p w14:paraId="2A342BDD" w14:textId="58C1594E" w:rsidR="00596579" w:rsidRPr="00F33937" w:rsidRDefault="00302378" w:rsidP="00536E3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562947" w:rsidRPr="00F33937">
        <w:rPr>
          <w:rFonts w:ascii="Times New Roman" w:hAnsi="Times New Roman" w:cs="Times New Roman"/>
          <w:sz w:val="24"/>
          <w:szCs w:val="24"/>
        </w:rPr>
        <w:t xml:space="preserve">Regular skirmishes have broken out between the Shield </w:t>
      </w:r>
      <w:r w:rsidR="00E4679B" w:rsidRPr="00F33937">
        <w:rPr>
          <w:rFonts w:ascii="Times New Roman" w:hAnsi="Times New Roman" w:cs="Times New Roman"/>
          <w:sz w:val="24"/>
          <w:szCs w:val="24"/>
        </w:rPr>
        <w:t>and the government</w:t>
      </w:r>
      <w:r w:rsidR="005B1EEE" w:rsidRPr="00F33937">
        <w:rPr>
          <w:rFonts w:ascii="Times New Roman" w:hAnsi="Times New Roman" w:cs="Times New Roman"/>
          <w:sz w:val="24"/>
          <w:szCs w:val="24"/>
        </w:rPr>
        <w:t>’s military arm</w:t>
      </w:r>
      <w:r w:rsidR="00E4679B" w:rsidRPr="00F33937">
        <w:rPr>
          <w:rFonts w:ascii="Times New Roman" w:hAnsi="Times New Roman" w:cs="Times New Roman"/>
          <w:sz w:val="24"/>
          <w:szCs w:val="24"/>
        </w:rPr>
        <w:t xml:space="preserve"> </w:t>
      </w:r>
      <w:r w:rsidR="005B1EEE" w:rsidRPr="00F33937">
        <w:rPr>
          <w:rFonts w:ascii="Times New Roman" w:hAnsi="Times New Roman" w:cs="Times New Roman"/>
          <w:sz w:val="24"/>
          <w:szCs w:val="24"/>
        </w:rPr>
        <w:t>since early summer of 2017,</w:t>
      </w:r>
      <w:r w:rsidR="005B1EEE" w:rsidRPr="00F33937">
        <w:rPr>
          <w:rStyle w:val="FootnoteReference"/>
          <w:rFonts w:ascii="Times New Roman" w:hAnsi="Times New Roman" w:cs="Times New Roman"/>
          <w:sz w:val="24"/>
          <w:szCs w:val="24"/>
        </w:rPr>
        <w:footnoteReference w:id="10"/>
      </w:r>
      <w:r w:rsidR="005B1EEE" w:rsidRPr="00F33937">
        <w:rPr>
          <w:rFonts w:ascii="Times New Roman" w:hAnsi="Times New Roman" w:cs="Times New Roman"/>
          <w:sz w:val="24"/>
          <w:szCs w:val="24"/>
        </w:rPr>
        <w:t xml:space="preserve"> with the primary region taking heat </w:t>
      </w:r>
      <w:r w:rsidR="001F781E" w:rsidRPr="00F33937">
        <w:rPr>
          <w:rFonts w:ascii="Times New Roman" w:hAnsi="Times New Roman" w:cs="Times New Roman"/>
          <w:sz w:val="24"/>
          <w:szCs w:val="24"/>
        </w:rPr>
        <w:t>being Western</w:t>
      </w:r>
      <w:r w:rsidR="005603E1">
        <w:rPr>
          <w:rFonts w:ascii="Times New Roman" w:hAnsi="Times New Roman" w:cs="Times New Roman"/>
          <w:sz w:val="24"/>
          <w:szCs w:val="24"/>
        </w:rPr>
        <w:t xml:space="preserve"> Charechia and its economically-</w:t>
      </w:r>
      <w:r w:rsidR="001F781E" w:rsidRPr="00F33937">
        <w:rPr>
          <w:rFonts w:ascii="Times New Roman" w:hAnsi="Times New Roman" w:cs="Times New Roman"/>
          <w:sz w:val="24"/>
          <w:szCs w:val="24"/>
        </w:rPr>
        <w:t xml:space="preserve">depressed </w:t>
      </w:r>
      <w:r w:rsidR="005B1EEE" w:rsidRPr="00F33937">
        <w:rPr>
          <w:rFonts w:ascii="Times New Roman" w:hAnsi="Times New Roman" w:cs="Times New Roman"/>
          <w:sz w:val="24"/>
          <w:szCs w:val="24"/>
        </w:rPr>
        <w:t>indigenous population.</w:t>
      </w:r>
      <w:r w:rsidR="00A06222" w:rsidRPr="00F33937">
        <w:rPr>
          <w:rStyle w:val="FootnoteReference"/>
          <w:rFonts w:ascii="Times New Roman" w:hAnsi="Times New Roman" w:cs="Times New Roman"/>
          <w:sz w:val="24"/>
          <w:szCs w:val="24"/>
        </w:rPr>
        <w:footnoteReference w:id="11"/>
      </w:r>
      <w:r w:rsidR="005B1EEE" w:rsidRPr="00F33937">
        <w:rPr>
          <w:rFonts w:ascii="Times New Roman" w:hAnsi="Times New Roman" w:cs="Times New Roman"/>
          <w:sz w:val="24"/>
          <w:szCs w:val="24"/>
        </w:rPr>
        <w:t xml:space="preserve">  </w:t>
      </w:r>
      <w:r w:rsidR="005603E1">
        <w:rPr>
          <w:rFonts w:ascii="Times New Roman" w:hAnsi="Times New Roman" w:cs="Times New Roman"/>
          <w:sz w:val="24"/>
          <w:szCs w:val="24"/>
        </w:rPr>
        <w:t xml:space="preserve">On </w:t>
      </w:r>
      <w:r w:rsidR="00C5293D" w:rsidRPr="00F33937">
        <w:rPr>
          <w:rFonts w:ascii="Times New Roman" w:hAnsi="Times New Roman" w:cs="Times New Roman"/>
          <w:sz w:val="24"/>
          <w:szCs w:val="24"/>
        </w:rPr>
        <w:t xml:space="preserve">August </w:t>
      </w:r>
      <w:r w:rsidR="005603E1">
        <w:rPr>
          <w:rFonts w:ascii="Times New Roman" w:hAnsi="Times New Roman" w:cs="Times New Roman"/>
          <w:sz w:val="24"/>
          <w:szCs w:val="24"/>
        </w:rPr>
        <w:t>3</w:t>
      </w:r>
      <w:r w:rsidR="005603E1" w:rsidRPr="005603E1">
        <w:rPr>
          <w:rFonts w:ascii="Times New Roman" w:hAnsi="Times New Roman" w:cs="Times New Roman"/>
          <w:sz w:val="24"/>
          <w:szCs w:val="24"/>
          <w:vertAlign w:val="superscript"/>
        </w:rPr>
        <w:t>rd</w:t>
      </w:r>
      <w:r w:rsidR="005603E1">
        <w:rPr>
          <w:rFonts w:ascii="Times New Roman" w:hAnsi="Times New Roman" w:cs="Times New Roman"/>
          <w:sz w:val="24"/>
          <w:szCs w:val="24"/>
        </w:rPr>
        <w:t xml:space="preserve"> </w:t>
      </w:r>
      <w:r w:rsidR="00C5293D" w:rsidRPr="00F33937">
        <w:rPr>
          <w:rFonts w:ascii="Times New Roman" w:hAnsi="Times New Roman" w:cs="Times New Roman"/>
          <w:sz w:val="24"/>
          <w:szCs w:val="24"/>
        </w:rPr>
        <w:t>of that same year, t</w:t>
      </w:r>
      <w:r w:rsidR="005603E1">
        <w:rPr>
          <w:rFonts w:ascii="Times New Roman" w:hAnsi="Times New Roman" w:cs="Times New Roman"/>
          <w:sz w:val="24"/>
          <w:szCs w:val="24"/>
        </w:rPr>
        <w:t xml:space="preserve">he Shield of the North, </w:t>
      </w:r>
      <w:r w:rsidR="00C5293D" w:rsidRPr="00F33937">
        <w:rPr>
          <w:rFonts w:ascii="Times New Roman" w:hAnsi="Times New Roman" w:cs="Times New Roman"/>
          <w:sz w:val="24"/>
          <w:szCs w:val="24"/>
        </w:rPr>
        <w:t>without authority</w:t>
      </w:r>
      <w:r w:rsidR="005603E1">
        <w:rPr>
          <w:rFonts w:ascii="Times New Roman" w:hAnsi="Times New Roman" w:cs="Times New Roman"/>
          <w:sz w:val="24"/>
          <w:szCs w:val="24"/>
        </w:rPr>
        <w:t>, captured</w:t>
      </w:r>
      <w:r w:rsidR="00C5293D" w:rsidRPr="00F33937">
        <w:rPr>
          <w:rFonts w:ascii="Times New Roman" w:hAnsi="Times New Roman" w:cs="Times New Roman"/>
          <w:sz w:val="24"/>
          <w:szCs w:val="24"/>
        </w:rPr>
        <w:t xml:space="preserve"> several indigenous </w:t>
      </w:r>
      <w:r w:rsidR="00A93389" w:rsidRPr="00F33937">
        <w:rPr>
          <w:rFonts w:ascii="Times New Roman" w:hAnsi="Times New Roman" w:cs="Times New Roman"/>
          <w:sz w:val="24"/>
          <w:szCs w:val="24"/>
        </w:rPr>
        <w:t xml:space="preserve">farmers and mistreated them, due to the Shield’s </w:t>
      </w:r>
      <w:r w:rsidR="00C5293D" w:rsidRPr="00F33937">
        <w:rPr>
          <w:rFonts w:ascii="Times New Roman" w:hAnsi="Times New Roman" w:cs="Times New Roman"/>
          <w:sz w:val="24"/>
          <w:szCs w:val="24"/>
        </w:rPr>
        <w:t xml:space="preserve">suspicion of </w:t>
      </w:r>
      <w:r w:rsidR="00A93389" w:rsidRPr="00F33937">
        <w:rPr>
          <w:rFonts w:ascii="Times New Roman" w:hAnsi="Times New Roman" w:cs="Times New Roman"/>
          <w:sz w:val="24"/>
          <w:szCs w:val="24"/>
        </w:rPr>
        <w:t xml:space="preserve">the men </w:t>
      </w:r>
      <w:r w:rsidR="00C5293D" w:rsidRPr="00F33937">
        <w:rPr>
          <w:rFonts w:ascii="Times New Roman" w:hAnsi="Times New Roman" w:cs="Times New Roman"/>
          <w:sz w:val="24"/>
          <w:szCs w:val="24"/>
        </w:rPr>
        <w:t xml:space="preserve">being </w:t>
      </w:r>
      <w:r w:rsidRPr="00F33937">
        <w:rPr>
          <w:rFonts w:ascii="Times New Roman" w:hAnsi="Times New Roman" w:cs="Times New Roman"/>
          <w:sz w:val="24"/>
          <w:szCs w:val="24"/>
        </w:rPr>
        <w:t xml:space="preserve">government </w:t>
      </w:r>
      <w:r w:rsidR="00C5293D" w:rsidRPr="00F33937">
        <w:rPr>
          <w:rFonts w:ascii="Times New Roman" w:hAnsi="Times New Roman" w:cs="Times New Roman"/>
          <w:sz w:val="24"/>
          <w:szCs w:val="24"/>
        </w:rPr>
        <w:t>spies.</w:t>
      </w:r>
      <w:r w:rsidR="00C5293D" w:rsidRPr="00F33937">
        <w:rPr>
          <w:rStyle w:val="FootnoteReference"/>
          <w:rFonts w:ascii="Times New Roman" w:hAnsi="Times New Roman" w:cs="Times New Roman"/>
          <w:sz w:val="24"/>
          <w:szCs w:val="24"/>
        </w:rPr>
        <w:footnoteReference w:id="12"/>
      </w:r>
      <w:r w:rsidR="005B1EEE" w:rsidRPr="00F33937">
        <w:rPr>
          <w:rFonts w:ascii="Times New Roman" w:hAnsi="Times New Roman" w:cs="Times New Roman"/>
          <w:sz w:val="24"/>
          <w:szCs w:val="24"/>
        </w:rPr>
        <w:t xml:space="preserve">  </w:t>
      </w:r>
      <w:r w:rsidR="00C5293D" w:rsidRPr="00F33937">
        <w:rPr>
          <w:rFonts w:ascii="Times New Roman" w:hAnsi="Times New Roman" w:cs="Times New Roman"/>
          <w:sz w:val="24"/>
          <w:szCs w:val="24"/>
        </w:rPr>
        <w:t>To the victims of the kidnapping, the president himself awarded $100,000 to each survivor’s family</w:t>
      </w:r>
      <w:r w:rsidR="00FF1538" w:rsidRPr="00F33937">
        <w:rPr>
          <w:rFonts w:ascii="Times New Roman" w:hAnsi="Times New Roman" w:cs="Times New Roman"/>
          <w:sz w:val="24"/>
          <w:szCs w:val="24"/>
        </w:rPr>
        <w:t xml:space="preserve"> and $200,000 to each</w:t>
      </w:r>
      <w:r w:rsidR="00C5293D" w:rsidRPr="00F33937">
        <w:rPr>
          <w:rFonts w:ascii="Times New Roman" w:hAnsi="Times New Roman" w:cs="Times New Roman"/>
          <w:sz w:val="24"/>
          <w:szCs w:val="24"/>
        </w:rPr>
        <w:t xml:space="preserve"> family</w:t>
      </w:r>
      <w:r w:rsidR="00FF1538" w:rsidRPr="00F33937">
        <w:rPr>
          <w:rFonts w:ascii="Times New Roman" w:hAnsi="Times New Roman" w:cs="Times New Roman"/>
          <w:sz w:val="24"/>
          <w:szCs w:val="24"/>
        </w:rPr>
        <w:t xml:space="preserve"> </w:t>
      </w:r>
      <w:r w:rsidR="005603E1">
        <w:rPr>
          <w:rFonts w:ascii="Times New Roman" w:hAnsi="Times New Roman" w:cs="Times New Roman"/>
          <w:sz w:val="24"/>
          <w:szCs w:val="24"/>
        </w:rPr>
        <w:t>whose relative was killed in this</w:t>
      </w:r>
      <w:r w:rsidR="00FF1538" w:rsidRPr="00F33937">
        <w:rPr>
          <w:rFonts w:ascii="Times New Roman" w:hAnsi="Times New Roman" w:cs="Times New Roman"/>
          <w:sz w:val="24"/>
          <w:szCs w:val="24"/>
        </w:rPr>
        <w:t xml:space="preserve"> secessionist kidnapping</w:t>
      </w:r>
      <w:r w:rsidR="00C5293D" w:rsidRPr="00F33937">
        <w:rPr>
          <w:rFonts w:ascii="Times New Roman" w:hAnsi="Times New Roman" w:cs="Times New Roman"/>
          <w:sz w:val="24"/>
          <w:szCs w:val="24"/>
        </w:rPr>
        <w:t>.</w:t>
      </w:r>
      <w:r w:rsidR="00C5293D" w:rsidRPr="00F33937">
        <w:rPr>
          <w:rStyle w:val="FootnoteReference"/>
          <w:rFonts w:ascii="Times New Roman" w:hAnsi="Times New Roman" w:cs="Times New Roman"/>
          <w:sz w:val="24"/>
          <w:szCs w:val="24"/>
        </w:rPr>
        <w:footnoteReference w:id="13"/>
      </w:r>
      <w:r w:rsidR="00FC70E5" w:rsidRPr="00F33937">
        <w:rPr>
          <w:rFonts w:ascii="Times New Roman" w:hAnsi="Times New Roman" w:cs="Times New Roman"/>
          <w:sz w:val="24"/>
          <w:szCs w:val="24"/>
        </w:rPr>
        <w:t xml:space="preserve">  </w:t>
      </w:r>
    </w:p>
    <w:p w14:paraId="42092125" w14:textId="4499C62D" w:rsidR="00FC70E5" w:rsidRPr="00F33937" w:rsidRDefault="00FC70E5" w:rsidP="00536E3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EF4B99" w:rsidRPr="00F33937">
        <w:rPr>
          <w:rFonts w:ascii="Times New Roman" w:hAnsi="Times New Roman" w:cs="Times New Roman"/>
          <w:sz w:val="24"/>
          <w:szCs w:val="24"/>
        </w:rPr>
        <w:t xml:space="preserve">Approximately two weeks later, </w:t>
      </w:r>
      <w:r w:rsidR="00C30161" w:rsidRPr="00F33937">
        <w:rPr>
          <w:rFonts w:ascii="Times New Roman" w:hAnsi="Times New Roman" w:cs="Times New Roman"/>
          <w:sz w:val="24"/>
          <w:szCs w:val="24"/>
        </w:rPr>
        <w:t>in t</w:t>
      </w:r>
      <w:r w:rsidR="00EF4B99" w:rsidRPr="00F33937">
        <w:rPr>
          <w:rFonts w:ascii="Times New Roman" w:hAnsi="Times New Roman" w:cs="Times New Roman"/>
          <w:sz w:val="24"/>
          <w:szCs w:val="24"/>
        </w:rPr>
        <w:t>he indigenous village of Paraio</w:t>
      </w:r>
      <w:r w:rsidR="009A1295" w:rsidRPr="00F33937">
        <w:rPr>
          <w:rStyle w:val="FootnoteReference"/>
          <w:rFonts w:ascii="Times New Roman" w:hAnsi="Times New Roman" w:cs="Times New Roman"/>
          <w:sz w:val="24"/>
          <w:szCs w:val="24"/>
        </w:rPr>
        <w:footnoteReference w:id="14"/>
      </w:r>
      <w:r w:rsidR="00EF4B99" w:rsidRPr="00F33937">
        <w:rPr>
          <w:rFonts w:ascii="Times New Roman" w:hAnsi="Times New Roman" w:cs="Times New Roman"/>
          <w:sz w:val="24"/>
          <w:szCs w:val="24"/>
        </w:rPr>
        <w:t xml:space="preserve"> a military surveillance and “crackdown” operation came to a head.  </w:t>
      </w:r>
      <w:r w:rsidR="00E07B46">
        <w:rPr>
          <w:rFonts w:ascii="Times New Roman" w:hAnsi="Times New Roman" w:cs="Times New Roman"/>
          <w:sz w:val="24"/>
          <w:szCs w:val="24"/>
        </w:rPr>
        <w:t xml:space="preserve">Based on its </w:t>
      </w:r>
      <w:r w:rsidR="008E4DA8" w:rsidRPr="00F33937">
        <w:rPr>
          <w:rFonts w:ascii="Times New Roman" w:hAnsi="Times New Roman" w:cs="Times New Roman"/>
          <w:sz w:val="24"/>
          <w:szCs w:val="24"/>
        </w:rPr>
        <w:t xml:space="preserve">presumption </w:t>
      </w:r>
      <w:r w:rsidR="00E07B46">
        <w:rPr>
          <w:rFonts w:ascii="Times New Roman" w:hAnsi="Times New Roman" w:cs="Times New Roman"/>
          <w:sz w:val="24"/>
          <w:szCs w:val="24"/>
        </w:rPr>
        <w:t xml:space="preserve">that the village was the </w:t>
      </w:r>
      <w:r w:rsidR="008E4DA8" w:rsidRPr="00F33937">
        <w:rPr>
          <w:rFonts w:ascii="Times New Roman" w:hAnsi="Times New Roman" w:cs="Times New Roman"/>
          <w:sz w:val="24"/>
          <w:szCs w:val="24"/>
        </w:rPr>
        <w:t>Shield of the Nort</w:t>
      </w:r>
      <w:r w:rsidR="00E07B46">
        <w:rPr>
          <w:rFonts w:ascii="Times New Roman" w:hAnsi="Times New Roman" w:cs="Times New Roman"/>
          <w:sz w:val="24"/>
          <w:szCs w:val="24"/>
        </w:rPr>
        <w:t>h regional headquarters</w:t>
      </w:r>
      <w:r w:rsidR="008E4DA8" w:rsidRPr="00F33937">
        <w:rPr>
          <w:rFonts w:ascii="Times New Roman" w:hAnsi="Times New Roman" w:cs="Times New Roman"/>
          <w:sz w:val="24"/>
          <w:szCs w:val="24"/>
        </w:rPr>
        <w:t>,</w:t>
      </w:r>
      <w:r w:rsidR="00E07B46">
        <w:rPr>
          <w:rStyle w:val="FootnoteReference"/>
          <w:rFonts w:ascii="Times New Roman" w:hAnsi="Times New Roman" w:cs="Times New Roman"/>
          <w:sz w:val="24"/>
          <w:szCs w:val="24"/>
        </w:rPr>
        <w:footnoteReference w:id="15"/>
      </w:r>
      <w:r w:rsidR="00E07B46">
        <w:rPr>
          <w:rFonts w:ascii="Times New Roman" w:hAnsi="Times New Roman" w:cs="Times New Roman"/>
          <w:sz w:val="24"/>
          <w:szCs w:val="24"/>
        </w:rPr>
        <w:t xml:space="preserve"> Military P</w:t>
      </w:r>
      <w:r w:rsidR="008E4DA8" w:rsidRPr="00F33937">
        <w:rPr>
          <w:rFonts w:ascii="Times New Roman" w:hAnsi="Times New Roman" w:cs="Times New Roman"/>
          <w:sz w:val="24"/>
          <w:szCs w:val="24"/>
        </w:rPr>
        <w:t>olice committed an air raid on the</w:t>
      </w:r>
      <w:r w:rsidR="00E07B46">
        <w:rPr>
          <w:rFonts w:ascii="Times New Roman" w:hAnsi="Times New Roman" w:cs="Times New Roman"/>
          <w:sz w:val="24"/>
          <w:szCs w:val="24"/>
        </w:rPr>
        <w:t xml:space="preserve"> Western Charechia</w:t>
      </w:r>
      <w:r w:rsidR="008E4DA8" w:rsidRPr="00F33937">
        <w:rPr>
          <w:rFonts w:ascii="Times New Roman" w:hAnsi="Times New Roman" w:cs="Times New Roman"/>
          <w:sz w:val="24"/>
          <w:szCs w:val="24"/>
        </w:rPr>
        <w:t xml:space="preserve"> village.</w:t>
      </w:r>
      <w:r w:rsidR="008E4DA8" w:rsidRPr="00F33937">
        <w:rPr>
          <w:rStyle w:val="FootnoteReference"/>
          <w:rFonts w:ascii="Times New Roman" w:hAnsi="Times New Roman" w:cs="Times New Roman"/>
          <w:sz w:val="24"/>
          <w:szCs w:val="24"/>
        </w:rPr>
        <w:footnoteReference w:id="16"/>
      </w:r>
      <w:r w:rsidR="00EF4B99" w:rsidRPr="00F33937">
        <w:rPr>
          <w:rFonts w:ascii="Times New Roman" w:hAnsi="Times New Roman" w:cs="Times New Roman"/>
          <w:sz w:val="24"/>
          <w:szCs w:val="24"/>
        </w:rPr>
        <w:t xml:space="preserve">  </w:t>
      </w:r>
      <w:r w:rsidR="004832FF">
        <w:rPr>
          <w:rFonts w:ascii="Times New Roman" w:hAnsi="Times New Roman" w:cs="Times New Roman"/>
          <w:sz w:val="24"/>
          <w:szCs w:val="24"/>
        </w:rPr>
        <w:t>Despite Shield members’ presence in Paraio village, i</w:t>
      </w:r>
      <w:r w:rsidR="00EF4B99" w:rsidRPr="00F33937">
        <w:rPr>
          <w:rFonts w:ascii="Times New Roman" w:hAnsi="Times New Roman" w:cs="Times New Roman"/>
          <w:sz w:val="24"/>
          <w:szCs w:val="24"/>
        </w:rPr>
        <w:t xml:space="preserve">n the </w:t>
      </w:r>
      <w:r w:rsidR="00302378" w:rsidRPr="00F33937">
        <w:rPr>
          <w:rFonts w:ascii="Times New Roman" w:hAnsi="Times New Roman" w:cs="Times New Roman"/>
          <w:sz w:val="24"/>
          <w:szCs w:val="24"/>
        </w:rPr>
        <w:t>air raid</w:t>
      </w:r>
      <w:r w:rsidR="00066BDE" w:rsidRPr="00F33937">
        <w:rPr>
          <w:rFonts w:ascii="Times New Roman" w:hAnsi="Times New Roman" w:cs="Times New Roman"/>
          <w:sz w:val="24"/>
          <w:szCs w:val="24"/>
        </w:rPr>
        <w:t xml:space="preserve"> ten individuals from three different families—the Guajillo, Ancho, and Poblano—were killed</w:t>
      </w:r>
      <w:r w:rsidR="00EF4B99" w:rsidRPr="00F33937">
        <w:rPr>
          <w:rFonts w:ascii="Times New Roman" w:hAnsi="Times New Roman" w:cs="Times New Roman"/>
          <w:sz w:val="24"/>
          <w:szCs w:val="24"/>
        </w:rPr>
        <w:t xml:space="preserve"> by the bombs</w:t>
      </w:r>
      <w:r w:rsidR="00066BDE" w:rsidRPr="00F33937">
        <w:rPr>
          <w:rFonts w:ascii="Times New Roman" w:hAnsi="Times New Roman" w:cs="Times New Roman"/>
          <w:sz w:val="24"/>
          <w:szCs w:val="24"/>
        </w:rPr>
        <w:t>.</w:t>
      </w:r>
      <w:r w:rsidR="00066BDE" w:rsidRPr="00F33937">
        <w:rPr>
          <w:rStyle w:val="FootnoteReference"/>
          <w:rFonts w:ascii="Times New Roman" w:hAnsi="Times New Roman" w:cs="Times New Roman"/>
          <w:sz w:val="24"/>
          <w:szCs w:val="24"/>
        </w:rPr>
        <w:footnoteReference w:id="17"/>
      </w:r>
      <w:r w:rsidR="00F33B12" w:rsidRPr="00F33937">
        <w:rPr>
          <w:rFonts w:ascii="Times New Roman" w:hAnsi="Times New Roman" w:cs="Times New Roman"/>
          <w:sz w:val="24"/>
          <w:szCs w:val="24"/>
        </w:rPr>
        <w:t xml:space="preserve">  </w:t>
      </w:r>
      <w:r w:rsidR="0080467D" w:rsidRPr="00F33937">
        <w:rPr>
          <w:rFonts w:ascii="Times New Roman" w:hAnsi="Times New Roman" w:cs="Times New Roman"/>
          <w:sz w:val="24"/>
          <w:szCs w:val="24"/>
        </w:rPr>
        <w:t xml:space="preserve">These deaths were pronounced by the government as “unavoidable </w:t>
      </w:r>
      <w:r w:rsidR="0080467D" w:rsidRPr="00F33937">
        <w:rPr>
          <w:rFonts w:ascii="Times New Roman" w:hAnsi="Times New Roman" w:cs="Times New Roman"/>
          <w:sz w:val="24"/>
          <w:szCs w:val="24"/>
        </w:rPr>
        <w:lastRenderedPageBreak/>
        <w:t>collateral casualties,”</w:t>
      </w:r>
      <w:r w:rsidR="0080467D" w:rsidRPr="00F33937">
        <w:rPr>
          <w:rStyle w:val="FootnoteReference"/>
          <w:rFonts w:ascii="Times New Roman" w:hAnsi="Times New Roman" w:cs="Times New Roman"/>
          <w:sz w:val="24"/>
          <w:szCs w:val="24"/>
        </w:rPr>
        <w:footnoteReference w:id="18"/>
      </w:r>
      <w:r w:rsidR="0080467D" w:rsidRPr="00F33937">
        <w:rPr>
          <w:rFonts w:ascii="Times New Roman" w:hAnsi="Times New Roman" w:cs="Times New Roman"/>
          <w:sz w:val="24"/>
          <w:szCs w:val="24"/>
        </w:rPr>
        <w:t xml:space="preserve"> and </w:t>
      </w:r>
      <w:r w:rsidR="00302378" w:rsidRPr="00F33937">
        <w:rPr>
          <w:rFonts w:ascii="Times New Roman" w:hAnsi="Times New Roman" w:cs="Times New Roman"/>
          <w:sz w:val="24"/>
          <w:szCs w:val="24"/>
        </w:rPr>
        <w:t>when the 3 families sought restitution</w:t>
      </w:r>
      <w:r w:rsidR="004832FF">
        <w:rPr>
          <w:rFonts w:ascii="Times New Roman" w:hAnsi="Times New Roman" w:cs="Times New Roman"/>
          <w:sz w:val="24"/>
          <w:szCs w:val="24"/>
        </w:rPr>
        <w:t xml:space="preserve"> for this loss of life</w:t>
      </w:r>
      <w:r w:rsidR="00302378" w:rsidRPr="00F33937">
        <w:rPr>
          <w:rFonts w:ascii="Times New Roman" w:hAnsi="Times New Roman" w:cs="Times New Roman"/>
          <w:sz w:val="24"/>
          <w:szCs w:val="24"/>
        </w:rPr>
        <w:t>,</w:t>
      </w:r>
      <w:r w:rsidR="004832FF">
        <w:rPr>
          <w:rStyle w:val="FootnoteReference"/>
          <w:rFonts w:ascii="Times New Roman" w:hAnsi="Times New Roman" w:cs="Times New Roman"/>
          <w:sz w:val="24"/>
          <w:szCs w:val="24"/>
        </w:rPr>
        <w:footnoteReference w:id="19"/>
      </w:r>
      <w:r w:rsidR="00302378" w:rsidRPr="00F33937">
        <w:rPr>
          <w:rFonts w:ascii="Times New Roman" w:hAnsi="Times New Roman" w:cs="Times New Roman"/>
          <w:sz w:val="24"/>
          <w:szCs w:val="24"/>
        </w:rPr>
        <w:t xml:space="preserve"> </w:t>
      </w:r>
      <w:r w:rsidR="0080467D" w:rsidRPr="00F33937">
        <w:rPr>
          <w:rFonts w:ascii="Times New Roman" w:hAnsi="Times New Roman" w:cs="Times New Roman"/>
          <w:sz w:val="24"/>
          <w:szCs w:val="24"/>
        </w:rPr>
        <w:t xml:space="preserve">the domestic courts further </w:t>
      </w:r>
      <w:r w:rsidR="00ED668E" w:rsidRPr="00F33937">
        <w:rPr>
          <w:rFonts w:ascii="Times New Roman" w:hAnsi="Times New Roman" w:cs="Times New Roman"/>
          <w:sz w:val="24"/>
          <w:szCs w:val="24"/>
        </w:rPr>
        <w:t>stated that Charechia had performed care and due diligence in identifying military targets.”</w:t>
      </w:r>
      <w:r w:rsidR="00ED668E" w:rsidRPr="00F33937">
        <w:rPr>
          <w:rStyle w:val="FootnoteReference"/>
          <w:rFonts w:ascii="Times New Roman" w:hAnsi="Times New Roman" w:cs="Times New Roman"/>
          <w:sz w:val="24"/>
          <w:szCs w:val="24"/>
        </w:rPr>
        <w:footnoteReference w:id="20"/>
      </w:r>
      <w:r w:rsidR="008E4DA8" w:rsidRPr="00F33937">
        <w:rPr>
          <w:rFonts w:ascii="Times New Roman" w:hAnsi="Times New Roman" w:cs="Times New Roman"/>
          <w:sz w:val="24"/>
          <w:szCs w:val="24"/>
        </w:rPr>
        <w:t xml:space="preserve">  </w:t>
      </w:r>
      <w:r w:rsidR="005E4154" w:rsidRPr="00F33937">
        <w:rPr>
          <w:rFonts w:ascii="Times New Roman" w:hAnsi="Times New Roman" w:cs="Times New Roman"/>
          <w:sz w:val="24"/>
          <w:szCs w:val="24"/>
        </w:rPr>
        <w:t>The three families proceeded to appeal through all</w:t>
      </w:r>
      <w:r w:rsidR="00852097" w:rsidRPr="00F33937">
        <w:rPr>
          <w:rFonts w:ascii="Times New Roman" w:hAnsi="Times New Roman" w:cs="Times New Roman"/>
          <w:sz w:val="24"/>
          <w:szCs w:val="24"/>
        </w:rPr>
        <w:t xml:space="preserve"> domestic courts accessible </w:t>
      </w:r>
      <w:r w:rsidR="005E4154" w:rsidRPr="00F33937">
        <w:rPr>
          <w:rFonts w:ascii="Times New Roman" w:hAnsi="Times New Roman" w:cs="Times New Roman"/>
          <w:sz w:val="24"/>
          <w:szCs w:val="24"/>
        </w:rPr>
        <w:t>to them,</w:t>
      </w:r>
      <w:r w:rsidR="005E4154" w:rsidRPr="00F33937">
        <w:rPr>
          <w:rStyle w:val="FootnoteReference"/>
          <w:rFonts w:ascii="Times New Roman" w:hAnsi="Times New Roman" w:cs="Times New Roman"/>
          <w:sz w:val="24"/>
          <w:szCs w:val="24"/>
        </w:rPr>
        <w:footnoteReference w:id="21"/>
      </w:r>
      <w:r w:rsidR="005E4154" w:rsidRPr="00F33937">
        <w:rPr>
          <w:rFonts w:ascii="Times New Roman" w:hAnsi="Times New Roman" w:cs="Times New Roman"/>
          <w:sz w:val="24"/>
          <w:szCs w:val="24"/>
        </w:rPr>
        <w:t xml:space="preserve"> </w:t>
      </w:r>
      <w:r w:rsidR="00EF398D" w:rsidRPr="00F33937">
        <w:rPr>
          <w:rFonts w:ascii="Times New Roman" w:hAnsi="Times New Roman" w:cs="Times New Roman"/>
          <w:sz w:val="24"/>
          <w:szCs w:val="24"/>
        </w:rPr>
        <w:t xml:space="preserve">but only the Guajillo family </w:t>
      </w:r>
      <w:r w:rsidR="00302378" w:rsidRPr="00F33937">
        <w:rPr>
          <w:rFonts w:ascii="Times New Roman" w:hAnsi="Times New Roman" w:cs="Times New Roman"/>
          <w:sz w:val="24"/>
          <w:szCs w:val="24"/>
        </w:rPr>
        <w:t>(</w:t>
      </w:r>
      <w:r w:rsidR="00EF398D" w:rsidRPr="00F33937">
        <w:rPr>
          <w:rFonts w:ascii="Times New Roman" w:hAnsi="Times New Roman" w:cs="Times New Roman"/>
          <w:sz w:val="24"/>
          <w:szCs w:val="24"/>
        </w:rPr>
        <w:t>who</w:t>
      </w:r>
      <w:r w:rsidR="00852097" w:rsidRPr="00F33937">
        <w:rPr>
          <w:rFonts w:ascii="Times New Roman" w:hAnsi="Times New Roman" w:cs="Times New Roman"/>
          <w:sz w:val="24"/>
          <w:szCs w:val="24"/>
        </w:rPr>
        <w:t xml:space="preserve"> </w:t>
      </w:r>
      <w:r w:rsidR="00714DE2" w:rsidRPr="00F33937">
        <w:rPr>
          <w:rFonts w:ascii="Times New Roman" w:hAnsi="Times New Roman" w:cs="Times New Roman"/>
          <w:sz w:val="24"/>
          <w:szCs w:val="24"/>
        </w:rPr>
        <w:t>had zero connection to either the</w:t>
      </w:r>
      <w:r w:rsidR="00852097" w:rsidRPr="00F33937">
        <w:rPr>
          <w:rFonts w:ascii="Times New Roman" w:hAnsi="Times New Roman" w:cs="Times New Roman"/>
          <w:sz w:val="24"/>
          <w:szCs w:val="24"/>
        </w:rPr>
        <w:t xml:space="preserve"> </w:t>
      </w:r>
      <w:r w:rsidR="00714DE2" w:rsidRPr="00F33937">
        <w:rPr>
          <w:rFonts w:ascii="Times New Roman" w:hAnsi="Times New Roman" w:cs="Times New Roman"/>
          <w:sz w:val="24"/>
          <w:szCs w:val="24"/>
        </w:rPr>
        <w:t>secessionist faction</w:t>
      </w:r>
      <w:r w:rsidR="00852097" w:rsidRPr="00F33937">
        <w:rPr>
          <w:rFonts w:ascii="Times New Roman" w:hAnsi="Times New Roman" w:cs="Times New Roman"/>
          <w:sz w:val="24"/>
          <w:szCs w:val="24"/>
        </w:rPr>
        <w:t xml:space="preserve"> </w:t>
      </w:r>
      <w:r w:rsidR="00EF398D" w:rsidRPr="00F33937">
        <w:rPr>
          <w:rFonts w:ascii="Times New Roman" w:hAnsi="Times New Roman" w:cs="Times New Roman"/>
          <w:sz w:val="24"/>
          <w:szCs w:val="24"/>
        </w:rPr>
        <w:t>or to the government</w:t>
      </w:r>
      <w:r w:rsidR="00EF398D" w:rsidRPr="00F33937">
        <w:rPr>
          <w:rStyle w:val="FootnoteReference"/>
          <w:rFonts w:ascii="Times New Roman" w:hAnsi="Times New Roman" w:cs="Times New Roman"/>
          <w:sz w:val="24"/>
          <w:szCs w:val="24"/>
        </w:rPr>
        <w:footnoteReference w:id="22"/>
      </w:r>
      <w:r w:rsidR="00302378" w:rsidRPr="00F33937">
        <w:rPr>
          <w:rFonts w:ascii="Times New Roman" w:hAnsi="Times New Roman" w:cs="Times New Roman"/>
          <w:sz w:val="24"/>
          <w:szCs w:val="24"/>
        </w:rPr>
        <w:t>)</w:t>
      </w:r>
      <w:r w:rsidR="00EF398D" w:rsidRPr="00F33937">
        <w:rPr>
          <w:rFonts w:ascii="Times New Roman" w:hAnsi="Times New Roman" w:cs="Times New Roman"/>
          <w:sz w:val="24"/>
          <w:szCs w:val="24"/>
        </w:rPr>
        <w:t xml:space="preserve"> was gra</w:t>
      </w:r>
      <w:r w:rsidR="00714DE2" w:rsidRPr="00F33937">
        <w:rPr>
          <w:rFonts w:ascii="Times New Roman" w:hAnsi="Times New Roman" w:cs="Times New Roman"/>
          <w:sz w:val="24"/>
          <w:szCs w:val="24"/>
        </w:rPr>
        <w:t xml:space="preserve">nted any compensation </w:t>
      </w:r>
      <w:r w:rsidR="00EF398D" w:rsidRPr="00F33937">
        <w:rPr>
          <w:rFonts w:ascii="Times New Roman" w:hAnsi="Times New Roman" w:cs="Times New Roman"/>
          <w:sz w:val="24"/>
          <w:szCs w:val="24"/>
        </w:rPr>
        <w:t>for loss of loved ones.</w:t>
      </w:r>
      <w:r w:rsidR="00EF398D" w:rsidRPr="00F33937">
        <w:rPr>
          <w:rStyle w:val="FootnoteReference"/>
          <w:rFonts w:ascii="Times New Roman" w:hAnsi="Times New Roman" w:cs="Times New Roman"/>
          <w:sz w:val="24"/>
          <w:szCs w:val="24"/>
        </w:rPr>
        <w:footnoteReference w:id="23"/>
      </w:r>
      <w:r w:rsidR="00714DE2" w:rsidRPr="00F33937">
        <w:rPr>
          <w:rFonts w:ascii="Times New Roman" w:hAnsi="Times New Roman" w:cs="Times New Roman"/>
          <w:sz w:val="24"/>
          <w:szCs w:val="24"/>
        </w:rPr>
        <w:t xml:space="preserve">  The Guajillos received $75,000 in damages.</w:t>
      </w:r>
      <w:r w:rsidR="00714DE2" w:rsidRPr="00F33937">
        <w:rPr>
          <w:rStyle w:val="FootnoteReference"/>
          <w:rFonts w:ascii="Times New Roman" w:hAnsi="Times New Roman" w:cs="Times New Roman"/>
          <w:sz w:val="24"/>
          <w:szCs w:val="24"/>
        </w:rPr>
        <w:footnoteReference w:id="24"/>
      </w:r>
    </w:p>
    <w:p w14:paraId="2E863971" w14:textId="66B0EEBC" w:rsidR="00C97F66" w:rsidRPr="00F33937" w:rsidRDefault="00C15EEE" w:rsidP="00536E3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Five months post-village bombing</w:t>
      </w:r>
      <w:r w:rsidR="001F781E" w:rsidRPr="00F33937">
        <w:rPr>
          <w:rFonts w:ascii="Times New Roman" w:hAnsi="Times New Roman" w:cs="Times New Roman"/>
          <w:sz w:val="24"/>
          <w:szCs w:val="24"/>
        </w:rPr>
        <w:t>,</w:t>
      </w:r>
      <w:r w:rsidRPr="00F33937">
        <w:rPr>
          <w:rFonts w:ascii="Times New Roman" w:hAnsi="Times New Roman" w:cs="Times New Roman"/>
          <w:sz w:val="24"/>
          <w:szCs w:val="24"/>
        </w:rPr>
        <w:t xml:space="preserve"> the President made an official response to the most recent Shield’s denouncement.</w:t>
      </w:r>
      <w:r w:rsidRPr="00F33937">
        <w:rPr>
          <w:rStyle w:val="FootnoteReference"/>
          <w:rFonts w:ascii="Times New Roman" w:hAnsi="Times New Roman" w:cs="Times New Roman"/>
          <w:sz w:val="24"/>
          <w:szCs w:val="24"/>
        </w:rPr>
        <w:footnoteReference w:id="25"/>
      </w:r>
      <w:r w:rsidR="001F781E" w:rsidRPr="00F33937">
        <w:rPr>
          <w:rFonts w:ascii="Times New Roman" w:hAnsi="Times New Roman" w:cs="Times New Roman"/>
          <w:sz w:val="24"/>
          <w:szCs w:val="24"/>
        </w:rPr>
        <w:t xml:space="preserve">  In this response</w:t>
      </w:r>
      <w:r w:rsidR="0008243A" w:rsidRPr="00F33937">
        <w:rPr>
          <w:rFonts w:ascii="Times New Roman" w:hAnsi="Times New Roman" w:cs="Times New Roman"/>
          <w:sz w:val="24"/>
          <w:szCs w:val="24"/>
        </w:rPr>
        <w:t xml:space="preserve"> the Executive pr</w:t>
      </w:r>
      <w:r w:rsidR="00EC5705" w:rsidRPr="00F33937">
        <w:rPr>
          <w:rFonts w:ascii="Times New Roman" w:hAnsi="Times New Roman" w:cs="Times New Roman"/>
          <w:sz w:val="24"/>
          <w:szCs w:val="24"/>
        </w:rPr>
        <w:t>omised that military raids—some</w:t>
      </w:r>
      <w:r w:rsidR="0008243A" w:rsidRPr="00F33937">
        <w:rPr>
          <w:rFonts w:ascii="Times New Roman" w:hAnsi="Times New Roman" w:cs="Times New Roman"/>
          <w:sz w:val="24"/>
          <w:szCs w:val="24"/>
        </w:rPr>
        <w:t xml:space="preserve"> involving bombs like </w:t>
      </w:r>
      <w:r w:rsidR="00045108" w:rsidRPr="00F33937">
        <w:rPr>
          <w:rFonts w:ascii="Times New Roman" w:hAnsi="Times New Roman" w:cs="Times New Roman"/>
          <w:sz w:val="24"/>
          <w:szCs w:val="24"/>
        </w:rPr>
        <w:t>the ones that rained down on Paraio</w:t>
      </w:r>
      <w:r w:rsidR="00EC5705" w:rsidRPr="00F33937">
        <w:rPr>
          <w:rFonts w:ascii="Times New Roman" w:hAnsi="Times New Roman" w:cs="Times New Roman"/>
          <w:sz w:val="24"/>
          <w:szCs w:val="24"/>
        </w:rPr>
        <w:t xml:space="preserve">—would </w:t>
      </w:r>
      <w:r w:rsidR="0008243A" w:rsidRPr="00F33937">
        <w:rPr>
          <w:rFonts w:ascii="Times New Roman" w:hAnsi="Times New Roman" w:cs="Times New Roman"/>
          <w:sz w:val="24"/>
          <w:szCs w:val="24"/>
        </w:rPr>
        <w:t>continue “in regions where instability is fomented by [secessionist] groups.”</w:t>
      </w:r>
      <w:r w:rsidR="0008243A" w:rsidRPr="00F33937">
        <w:rPr>
          <w:rStyle w:val="FootnoteReference"/>
          <w:rFonts w:ascii="Times New Roman" w:hAnsi="Times New Roman" w:cs="Times New Roman"/>
          <w:sz w:val="24"/>
          <w:szCs w:val="24"/>
        </w:rPr>
        <w:footnoteReference w:id="26"/>
      </w:r>
      <w:r w:rsidRPr="00F33937">
        <w:rPr>
          <w:rFonts w:ascii="Times New Roman" w:hAnsi="Times New Roman" w:cs="Times New Roman"/>
          <w:sz w:val="24"/>
          <w:szCs w:val="24"/>
        </w:rPr>
        <w:t xml:space="preserve"> </w:t>
      </w:r>
      <w:r w:rsidR="00A36373" w:rsidRPr="00F33937">
        <w:rPr>
          <w:rFonts w:ascii="Times New Roman" w:hAnsi="Times New Roman" w:cs="Times New Roman"/>
          <w:sz w:val="24"/>
          <w:szCs w:val="24"/>
        </w:rPr>
        <w:t xml:space="preserve"> The </w:t>
      </w:r>
      <w:r w:rsidR="00EC5705" w:rsidRPr="00F33937">
        <w:rPr>
          <w:rFonts w:ascii="Times New Roman" w:hAnsi="Times New Roman" w:cs="Times New Roman"/>
          <w:sz w:val="24"/>
          <w:szCs w:val="24"/>
        </w:rPr>
        <w:t xml:space="preserve">President’s announcement </w:t>
      </w:r>
      <w:r w:rsidR="00A36373" w:rsidRPr="00F33937">
        <w:rPr>
          <w:rFonts w:ascii="Times New Roman" w:hAnsi="Times New Roman" w:cs="Times New Roman"/>
          <w:sz w:val="24"/>
          <w:szCs w:val="24"/>
        </w:rPr>
        <w:t>claimed the same care and due diligence as the nation</w:t>
      </w:r>
      <w:r w:rsidR="000D6CA4" w:rsidRPr="00F33937">
        <w:rPr>
          <w:rFonts w:ascii="Times New Roman" w:hAnsi="Times New Roman" w:cs="Times New Roman"/>
          <w:sz w:val="24"/>
          <w:szCs w:val="24"/>
        </w:rPr>
        <w:t>’s Supreme Court had pronounced</w:t>
      </w:r>
      <w:r w:rsidR="00A36373" w:rsidRPr="00F33937">
        <w:rPr>
          <w:rFonts w:ascii="Times New Roman" w:hAnsi="Times New Roman" w:cs="Times New Roman"/>
          <w:sz w:val="24"/>
          <w:szCs w:val="24"/>
        </w:rPr>
        <w:t xml:space="preserve"> when the three families</w:t>
      </w:r>
      <w:r w:rsidR="000D6CA4" w:rsidRPr="00F33937">
        <w:rPr>
          <w:rFonts w:ascii="Times New Roman" w:hAnsi="Times New Roman" w:cs="Times New Roman"/>
          <w:sz w:val="24"/>
          <w:szCs w:val="24"/>
        </w:rPr>
        <w:t>,</w:t>
      </w:r>
      <w:r w:rsidR="00A36373" w:rsidRPr="00F33937">
        <w:rPr>
          <w:rFonts w:ascii="Times New Roman" w:hAnsi="Times New Roman" w:cs="Times New Roman"/>
          <w:sz w:val="24"/>
          <w:szCs w:val="24"/>
        </w:rPr>
        <w:t xml:space="preserve"> in a joint </w:t>
      </w:r>
      <w:r w:rsidR="00EC5705" w:rsidRPr="00F33937">
        <w:rPr>
          <w:rFonts w:ascii="Times New Roman" w:hAnsi="Times New Roman" w:cs="Times New Roman"/>
          <w:sz w:val="24"/>
          <w:szCs w:val="24"/>
        </w:rPr>
        <w:t>lawsuit</w:t>
      </w:r>
      <w:r w:rsidR="000D6CA4" w:rsidRPr="00F33937">
        <w:rPr>
          <w:rFonts w:ascii="Times New Roman" w:hAnsi="Times New Roman" w:cs="Times New Roman"/>
          <w:sz w:val="24"/>
          <w:szCs w:val="24"/>
        </w:rPr>
        <w:t>,</w:t>
      </w:r>
      <w:r w:rsidR="00A36373" w:rsidRPr="00F33937">
        <w:rPr>
          <w:rFonts w:ascii="Times New Roman" w:hAnsi="Times New Roman" w:cs="Times New Roman"/>
          <w:sz w:val="24"/>
          <w:szCs w:val="24"/>
        </w:rPr>
        <w:t xml:space="preserve"> received their </w:t>
      </w:r>
      <w:r w:rsidR="00EC5705" w:rsidRPr="00F33937">
        <w:rPr>
          <w:rFonts w:ascii="Times New Roman" w:hAnsi="Times New Roman" w:cs="Times New Roman"/>
          <w:sz w:val="24"/>
          <w:szCs w:val="24"/>
        </w:rPr>
        <w:t xml:space="preserve">final domestic </w:t>
      </w:r>
      <w:r w:rsidR="00A36373" w:rsidRPr="00F33937">
        <w:rPr>
          <w:rFonts w:ascii="Times New Roman" w:hAnsi="Times New Roman" w:cs="Times New Roman"/>
          <w:sz w:val="24"/>
          <w:szCs w:val="24"/>
        </w:rPr>
        <w:t>answer for restitution on March 1, 2019:  a dismissal from the lowest court of appeal.</w:t>
      </w:r>
      <w:r w:rsidR="000D6CA4" w:rsidRPr="00F33937">
        <w:rPr>
          <w:rStyle w:val="FootnoteReference"/>
          <w:rFonts w:ascii="Times New Roman" w:hAnsi="Times New Roman" w:cs="Times New Roman"/>
          <w:sz w:val="24"/>
          <w:szCs w:val="24"/>
        </w:rPr>
        <w:footnoteReference w:id="27"/>
      </w:r>
      <w:r w:rsidR="009F468C" w:rsidRPr="00F33937">
        <w:rPr>
          <w:rFonts w:ascii="Times New Roman" w:hAnsi="Times New Roman" w:cs="Times New Roman"/>
          <w:sz w:val="24"/>
          <w:szCs w:val="24"/>
        </w:rPr>
        <w:t xml:space="preserve">  </w:t>
      </w:r>
      <w:r w:rsidR="002D72F8">
        <w:rPr>
          <w:rFonts w:ascii="Times New Roman" w:hAnsi="Times New Roman" w:cs="Times New Roman"/>
          <w:sz w:val="24"/>
          <w:szCs w:val="24"/>
        </w:rPr>
        <w:t>(</w:t>
      </w:r>
      <w:r w:rsidR="009F468C" w:rsidRPr="00F33937">
        <w:rPr>
          <w:rFonts w:ascii="Times New Roman" w:hAnsi="Times New Roman" w:cs="Times New Roman"/>
          <w:sz w:val="24"/>
          <w:szCs w:val="24"/>
        </w:rPr>
        <w:t>The</w:t>
      </w:r>
      <w:r w:rsidR="00F87FF7" w:rsidRPr="00F33937">
        <w:rPr>
          <w:rFonts w:ascii="Times New Roman" w:hAnsi="Times New Roman" w:cs="Times New Roman"/>
          <w:sz w:val="24"/>
          <w:szCs w:val="24"/>
        </w:rPr>
        <w:t xml:space="preserve"> hardships and costs incurred in traveling</w:t>
      </w:r>
      <w:r w:rsidR="002114B4" w:rsidRPr="00F33937">
        <w:rPr>
          <w:rFonts w:ascii="Times New Roman" w:hAnsi="Times New Roman" w:cs="Times New Roman"/>
          <w:sz w:val="24"/>
          <w:szCs w:val="24"/>
        </w:rPr>
        <w:t xml:space="preserve"> to the cou</w:t>
      </w:r>
      <w:r w:rsidR="009F468C" w:rsidRPr="00F33937">
        <w:rPr>
          <w:rFonts w:ascii="Times New Roman" w:hAnsi="Times New Roman" w:cs="Times New Roman"/>
          <w:sz w:val="24"/>
          <w:szCs w:val="24"/>
        </w:rPr>
        <w:t xml:space="preserve">rts are unknown.  </w:t>
      </w:r>
      <w:r w:rsidR="004B5BB8" w:rsidRPr="00F33937">
        <w:rPr>
          <w:rFonts w:ascii="Times New Roman" w:hAnsi="Times New Roman" w:cs="Times New Roman"/>
          <w:sz w:val="24"/>
          <w:szCs w:val="24"/>
        </w:rPr>
        <w:t xml:space="preserve">Secondary courts access is available in </w:t>
      </w:r>
      <w:r w:rsidR="002D72F8">
        <w:rPr>
          <w:rFonts w:ascii="Times New Roman" w:hAnsi="Times New Roman" w:cs="Times New Roman"/>
          <w:sz w:val="24"/>
          <w:szCs w:val="24"/>
        </w:rPr>
        <w:t>every state but that of the Families.</w:t>
      </w:r>
      <w:r w:rsidR="002114B4" w:rsidRPr="00F33937">
        <w:rPr>
          <w:rStyle w:val="FootnoteReference"/>
          <w:rFonts w:ascii="Times New Roman" w:hAnsi="Times New Roman" w:cs="Times New Roman"/>
          <w:sz w:val="24"/>
          <w:szCs w:val="24"/>
        </w:rPr>
        <w:footnoteReference w:id="28"/>
      </w:r>
      <w:r w:rsidR="002D72F8">
        <w:rPr>
          <w:rFonts w:ascii="Times New Roman" w:hAnsi="Times New Roman" w:cs="Times New Roman"/>
          <w:sz w:val="24"/>
          <w:szCs w:val="24"/>
        </w:rPr>
        <w:t>)</w:t>
      </w:r>
      <w:r w:rsidR="003C0EEE" w:rsidRPr="00F33937">
        <w:rPr>
          <w:rFonts w:ascii="Times New Roman" w:hAnsi="Times New Roman" w:cs="Times New Roman"/>
          <w:sz w:val="24"/>
          <w:szCs w:val="24"/>
        </w:rPr>
        <w:t xml:space="preserve">  </w:t>
      </w:r>
    </w:p>
    <w:p w14:paraId="1771A020" w14:textId="791CD8A8" w:rsidR="00536E39" w:rsidRPr="00F33937" w:rsidRDefault="00C97F66" w:rsidP="00536E39">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3C0EEE" w:rsidRPr="00F33937">
        <w:rPr>
          <w:rFonts w:ascii="Times New Roman" w:hAnsi="Times New Roman" w:cs="Times New Roman"/>
          <w:sz w:val="24"/>
          <w:szCs w:val="24"/>
        </w:rPr>
        <w:t xml:space="preserve">Two months and four days after the dismissal, the Guajillo, Ancho, and Poblano </w:t>
      </w:r>
      <w:r w:rsidR="00272616" w:rsidRPr="00F33937">
        <w:rPr>
          <w:rFonts w:ascii="Times New Roman" w:hAnsi="Times New Roman" w:cs="Times New Roman"/>
          <w:sz w:val="24"/>
          <w:szCs w:val="24"/>
        </w:rPr>
        <w:t>f</w:t>
      </w:r>
      <w:r w:rsidR="003C0EEE" w:rsidRPr="00F33937">
        <w:rPr>
          <w:rFonts w:ascii="Times New Roman" w:hAnsi="Times New Roman" w:cs="Times New Roman"/>
          <w:sz w:val="24"/>
          <w:szCs w:val="24"/>
        </w:rPr>
        <w:t xml:space="preserve">amilies (“the Families,” the “Petitioners”) presented their case to the Inter-American Human Rights </w:t>
      </w:r>
      <w:r w:rsidR="003C0EEE" w:rsidRPr="00F33937">
        <w:rPr>
          <w:rFonts w:ascii="Times New Roman" w:hAnsi="Times New Roman" w:cs="Times New Roman"/>
          <w:sz w:val="24"/>
          <w:szCs w:val="24"/>
        </w:rPr>
        <w:lastRenderedPageBreak/>
        <w:t>Commission</w:t>
      </w:r>
      <w:r w:rsidR="005E26C8" w:rsidRPr="00F33937">
        <w:rPr>
          <w:rFonts w:ascii="Times New Roman" w:hAnsi="Times New Roman" w:cs="Times New Roman"/>
          <w:sz w:val="24"/>
          <w:szCs w:val="24"/>
        </w:rPr>
        <w:t xml:space="preserve"> (“the Commission”)</w:t>
      </w:r>
      <w:r w:rsidR="001D0945" w:rsidRPr="00F33937">
        <w:rPr>
          <w:rFonts w:ascii="Times New Roman" w:hAnsi="Times New Roman" w:cs="Times New Roman"/>
          <w:sz w:val="24"/>
          <w:szCs w:val="24"/>
        </w:rPr>
        <w:t>,</w:t>
      </w:r>
      <w:r w:rsidR="003C0EEE" w:rsidRPr="00F33937">
        <w:rPr>
          <w:rStyle w:val="FootnoteReference"/>
          <w:rFonts w:ascii="Times New Roman" w:hAnsi="Times New Roman" w:cs="Times New Roman"/>
          <w:sz w:val="24"/>
          <w:szCs w:val="24"/>
        </w:rPr>
        <w:footnoteReference w:id="29"/>
      </w:r>
      <w:r w:rsidR="001D0945" w:rsidRPr="00F33937">
        <w:rPr>
          <w:rFonts w:ascii="Times New Roman" w:hAnsi="Times New Roman" w:cs="Times New Roman"/>
          <w:sz w:val="24"/>
          <w:szCs w:val="24"/>
        </w:rPr>
        <w:t xml:space="preserve"> and one month and five days later the Commission issued Report 174/2019:  Admissibility and Merits.</w:t>
      </w:r>
      <w:r w:rsidR="006C0EB6" w:rsidRPr="00F33937">
        <w:rPr>
          <w:rFonts w:ascii="Times New Roman" w:hAnsi="Times New Roman" w:cs="Times New Roman"/>
          <w:sz w:val="24"/>
          <w:szCs w:val="24"/>
        </w:rPr>
        <w:t xml:space="preserve"> </w:t>
      </w:r>
      <w:r w:rsidR="007A1E6C" w:rsidRPr="00F33937">
        <w:rPr>
          <w:rFonts w:ascii="Times New Roman" w:hAnsi="Times New Roman" w:cs="Times New Roman"/>
          <w:sz w:val="24"/>
          <w:szCs w:val="24"/>
        </w:rPr>
        <w:t xml:space="preserve"> </w:t>
      </w:r>
      <w:r w:rsidR="006C0EB6" w:rsidRPr="00F33937">
        <w:rPr>
          <w:rFonts w:ascii="Times New Roman" w:hAnsi="Times New Roman" w:cs="Times New Roman"/>
          <w:sz w:val="24"/>
          <w:szCs w:val="24"/>
        </w:rPr>
        <w:t xml:space="preserve">Under the American Convention on Human Rights </w:t>
      </w:r>
      <w:r w:rsidR="008D23FD" w:rsidRPr="00F33937">
        <w:rPr>
          <w:rFonts w:ascii="Times New Roman" w:hAnsi="Times New Roman" w:cs="Times New Roman"/>
          <w:sz w:val="24"/>
          <w:szCs w:val="24"/>
        </w:rPr>
        <w:t xml:space="preserve">(“ACHR”) </w:t>
      </w:r>
      <w:r w:rsidR="006C0EB6" w:rsidRPr="00F33937">
        <w:rPr>
          <w:rFonts w:ascii="Times New Roman" w:hAnsi="Times New Roman" w:cs="Times New Roman"/>
          <w:sz w:val="24"/>
          <w:szCs w:val="24"/>
        </w:rPr>
        <w:t>the Commission found violations of Articles 5, 7, 8, 11, 13</w:t>
      </w:r>
      <w:r w:rsidR="00872C1D" w:rsidRPr="00F33937">
        <w:rPr>
          <w:rFonts w:ascii="Times New Roman" w:hAnsi="Times New Roman" w:cs="Times New Roman"/>
          <w:sz w:val="24"/>
          <w:szCs w:val="24"/>
        </w:rPr>
        <w:t>,</w:t>
      </w:r>
      <w:r w:rsidR="006C0EB6" w:rsidRPr="00F33937">
        <w:rPr>
          <w:rFonts w:ascii="Times New Roman" w:hAnsi="Times New Roman" w:cs="Times New Roman"/>
          <w:sz w:val="24"/>
          <w:szCs w:val="24"/>
        </w:rPr>
        <w:t xml:space="preserve"> 16, 22 and 23</w:t>
      </w:r>
      <w:r w:rsidR="00CA675E" w:rsidRPr="00F33937">
        <w:rPr>
          <w:rFonts w:ascii="Times New Roman" w:hAnsi="Times New Roman" w:cs="Times New Roman"/>
          <w:sz w:val="24"/>
          <w:szCs w:val="24"/>
        </w:rPr>
        <w:t>.</w:t>
      </w:r>
      <w:r w:rsidR="007A1E6C" w:rsidRPr="00F33937">
        <w:rPr>
          <w:rStyle w:val="FootnoteReference"/>
          <w:rFonts w:ascii="Times New Roman" w:hAnsi="Times New Roman" w:cs="Times New Roman"/>
          <w:sz w:val="24"/>
          <w:szCs w:val="24"/>
        </w:rPr>
        <w:footnoteReference w:id="30"/>
      </w:r>
      <w:r w:rsidR="00107DCA" w:rsidRPr="00F33937">
        <w:rPr>
          <w:rFonts w:ascii="Times New Roman" w:hAnsi="Times New Roman" w:cs="Times New Roman"/>
          <w:sz w:val="24"/>
          <w:szCs w:val="24"/>
        </w:rPr>
        <w:t xml:space="preserve">  As the Republic failed in the timeframe allotted by the Commission to comply with </w:t>
      </w:r>
      <w:r w:rsidR="008D23FD" w:rsidRPr="00F33937">
        <w:rPr>
          <w:rFonts w:ascii="Times New Roman" w:hAnsi="Times New Roman" w:cs="Times New Roman"/>
          <w:sz w:val="24"/>
          <w:szCs w:val="24"/>
        </w:rPr>
        <w:t>their</w:t>
      </w:r>
      <w:r w:rsidR="0040689A" w:rsidRPr="00F33937">
        <w:rPr>
          <w:rFonts w:ascii="Times New Roman" w:hAnsi="Times New Roman" w:cs="Times New Roman"/>
          <w:sz w:val="24"/>
          <w:szCs w:val="24"/>
        </w:rPr>
        <w:t xml:space="preserve"> </w:t>
      </w:r>
      <w:r w:rsidR="00A35D36">
        <w:rPr>
          <w:rFonts w:ascii="Times New Roman" w:hAnsi="Times New Roman" w:cs="Times New Roman"/>
          <w:sz w:val="24"/>
          <w:szCs w:val="24"/>
        </w:rPr>
        <w:t xml:space="preserve">restitution </w:t>
      </w:r>
      <w:r w:rsidR="0040689A" w:rsidRPr="00F33937">
        <w:rPr>
          <w:rFonts w:ascii="Times New Roman" w:hAnsi="Times New Roman" w:cs="Times New Roman"/>
          <w:sz w:val="24"/>
          <w:szCs w:val="24"/>
        </w:rPr>
        <w:t xml:space="preserve">recommendations, </w:t>
      </w:r>
      <w:r w:rsidR="00872C1D" w:rsidRPr="00F33937">
        <w:rPr>
          <w:rFonts w:ascii="Times New Roman" w:hAnsi="Times New Roman" w:cs="Times New Roman"/>
          <w:sz w:val="24"/>
          <w:szCs w:val="24"/>
        </w:rPr>
        <w:t xml:space="preserve">the Case was brought before the Inter-American Court </w:t>
      </w:r>
      <w:r w:rsidR="00A35D36">
        <w:rPr>
          <w:rFonts w:ascii="Times New Roman" w:hAnsi="Times New Roman" w:cs="Times New Roman"/>
          <w:sz w:val="24"/>
          <w:szCs w:val="24"/>
        </w:rPr>
        <w:t xml:space="preserve">of Human Rights </w:t>
      </w:r>
      <w:r w:rsidR="00872C1D" w:rsidRPr="00F33937">
        <w:rPr>
          <w:rFonts w:ascii="Times New Roman" w:hAnsi="Times New Roman" w:cs="Times New Roman"/>
          <w:sz w:val="24"/>
          <w:szCs w:val="24"/>
        </w:rPr>
        <w:t>(the “Court”)</w:t>
      </w:r>
      <w:r w:rsidR="002129A0" w:rsidRPr="00F33937">
        <w:rPr>
          <w:rFonts w:ascii="Times New Roman" w:hAnsi="Times New Roman" w:cs="Times New Roman"/>
          <w:sz w:val="24"/>
          <w:szCs w:val="24"/>
        </w:rPr>
        <w:t xml:space="preserve">, before which arguments on the merits and reparations shall be heard November 15-16, 2019 during the </w:t>
      </w:r>
      <w:r w:rsidR="00272616" w:rsidRPr="00F33937">
        <w:rPr>
          <w:rFonts w:ascii="Times New Roman" w:hAnsi="Times New Roman" w:cs="Times New Roman"/>
          <w:sz w:val="24"/>
          <w:szCs w:val="24"/>
        </w:rPr>
        <w:t xml:space="preserve">Court’s </w:t>
      </w:r>
      <w:r w:rsidR="002129A0" w:rsidRPr="00F33937">
        <w:rPr>
          <w:rFonts w:ascii="Times New Roman" w:hAnsi="Times New Roman" w:cs="Times New Roman"/>
          <w:sz w:val="24"/>
          <w:szCs w:val="24"/>
        </w:rPr>
        <w:t>Extraordinary Session in San Antonio, Texas, U.S.A.</w:t>
      </w:r>
      <w:r w:rsidR="00CD0158" w:rsidRPr="00F33937">
        <w:rPr>
          <w:rStyle w:val="FootnoteReference"/>
          <w:rFonts w:ascii="Times New Roman" w:hAnsi="Times New Roman" w:cs="Times New Roman"/>
          <w:sz w:val="24"/>
          <w:szCs w:val="24"/>
        </w:rPr>
        <w:footnoteReference w:id="31"/>
      </w:r>
      <w:r w:rsidR="00872C1D" w:rsidRPr="00F33937">
        <w:rPr>
          <w:rFonts w:ascii="Times New Roman" w:hAnsi="Times New Roman" w:cs="Times New Roman"/>
          <w:sz w:val="24"/>
          <w:szCs w:val="24"/>
        </w:rPr>
        <w:t xml:space="preserve"> </w:t>
      </w:r>
      <w:r w:rsidR="00CA675E" w:rsidRPr="00F33937">
        <w:rPr>
          <w:rFonts w:ascii="Times New Roman" w:hAnsi="Times New Roman" w:cs="Times New Roman"/>
          <w:sz w:val="24"/>
          <w:szCs w:val="24"/>
        </w:rPr>
        <w:t xml:space="preserve">  </w:t>
      </w:r>
      <w:r w:rsidR="00843710" w:rsidRPr="00F33937">
        <w:rPr>
          <w:rFonts w:ascii="Times New Roman" w:hAnsi="Times New Roman" w:cs="Times New Roman"/>
          <w:sz w:val="24"/>
          <w:szCs w:val="24"/>
        </w:rPr>
        <w:t xml:space="preserve"> </w:t>
      </w:r>
    </w:p>
    <w:p w14:paraId="36641C7E" w14:textId="77777777" w:rsidR="00651649" w:rsidRDefault="00651649" w:rsidP="00407895">
      <w:pPr>
        <w:spacing w:line="480" w:lineRule="auto"/>
        <w:contextualSpacing/>
        <w:rPr>
          <w:rFonts w:ascii="Times New Roman" w:hAnsi="Times New Roman" w:cs="Times New Roman"/>
          <w:sz w:val="24"/>
          <w:szCs w:val="24"/>
        </w:rPr>
      </w:pPr>
    </w:p>
    <w:p w14:paraId="1AA29464" w14:textId="0D59801C" w:rsidR="00833A7E" w:rsidRPr="00F33937" w:rsidRDefault="00407895"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LEGAL AN</w:t>
      </w:r>
      <w:r w:rsidR="00552768" w:rsidRPr="00F33937">
        <w:rPr>
          <w:rFonts w:ascii="Times New Roman" w:hAnsi="Times New Roman" w:cs="Times New Roman"/>
          <w:sz w:val="24"/>
          <w:szCs w:val="24"/>
        </w:rPr>
        <w:t>A</w:t>
      </w:r>
      <w:r w:rsidRPr="00F33937">
        <w:rPr>
          <w:rFonts w:ascii="Times New Roman" w:hAnsi="Times New Roman" w:cs="Times New Roman"/>
          <w:sz w:val="24"/>
          <w:szCs w:val="24"/>
        </w:rPr>
        <w:t>LYSIS</w:t>
      </w:r>
    </w:p>
    <w:p w14:paraId="6A23869C" w14:textId="78A55F18" w:rsidR="00407895" w:rsidRDefault="00552768" w:rsidP="00651649">
      <w:pPr>
        <w:spacing w:after="120" w:line="360" w:lineRule="auto"/>
        <w:contextualSpacing/>
        <w:rPr>
          <w:rFonts w:ascii="Times New Roman" w:hAnsi="Times New Roman" w:cs="Times New Roman"/>
          <w:sz w:val="24"/>
          <w:szCs w:val="24"/>
        </w:rPr>
      </w:pPr>
      <w:r w:rsidRPr="00F33937">
        <w:rPr>
          <w:rFonts w:ascii="Times New Roman" w:hAnsi="Times New Roman" w:cs="Times New Roman"/>
          <w:sz w:val="24"/>
          <w:szCs w:val="24"/>
        </w:rPr>
        <w:t xml:space="preserve">1 </w:t>
      </w:r>
      <w:r w:rsidR="00651649">
        <w:rPr>
          <w:rFonts w:ascii="Times New Roman" w:hAnsi="Times New Roman" w:cs="Times New Roman"/>
          <w:sz w:val="24"/>
          <w:szCs w:val="24"/>
        </w:rPr>
        <w:t>–</w:t>
      </w:r>
      <w:r w:rsidRPr="00F33937">
        <w:rPr>
          <w:rFonts w:ascii="Times New Roman" w:hAnsi="Times New Roman" w:cs="Times New Roman"/>
          <w:sz w:val="24"/>
          <w:szCs w:val="24"/>
        </w:rPr>
        <w:t xml:space="preserve"> ADMISSIBILITY</w:t>
      </w:r>
    </w:p>
    <w:p w14:paraId="11836492" w14:textId="77777777" w:rsidR="00651649" w:rsidRPr="00F33937" w:rsidRDefault="00651649" w:rsidP="00651649">
      <w:pPr>
        <w:spacing w:after="120" w:line="360" w:lineRule="auto"/>
        <w:contextualSpacing/>
        <w:rPr>
          <w:rFonts w:ascii="Times New Roman" w:hAnsi="Times New Roman" w:cs="Times New Roman"/>
          <w:sz w:val="24"/>
          <w:szCs w:val="24"/>
        </w:rPr>
      </w:pPr>
    </w:p>
    <w:p w14:paraId="6FEFF70B" w14:textId="4FA17B4C" w:rsidR="00407895" w:rsidRPr="00F33937" w:rsidRDefault="00552768" w:rsidP="00651649">
      <w:pPr>
        <w:spacing w:after="120" w:line="360" w:lineRule="auto"/>
        <w:contextualSpacing/>
        <w:rPr>
          <w:rFonts w:ascii="Times New Roman" w:hAnsi="Times New Roman" w:cs="Times New Roman"/>
          <w:i/>
          <w:sz w:val="24"/>
          <w:szCs w:val="24"/>
        </w:rPr>
      </w:pPr>
      <w:r w:rsidRPr="00F33937">
        <w:rPr>
          <w:rFonts w:ascii="Times New Roman" w:hAnsi="Times New Roman" w:cs="Times New Roman"/>
          <w:i/>
          <w:sz w:val="24"/>
          <w:szCs w:val="24"/>
        </w:rPr>
        <w:t>1.1 – STATEMENT OF JURISDICTION</w:t>
      </w:r>
    </w:p>
    <w:p w14:paraId="63E5622C" w14:textId="0EF148CC" w:rsidR="00407895" w:rsidRPr="00F33937" w:rsidRDefault="00407895" w:rsidP="00407895">
      <w:pPr>
        <w:spacing w:line="480" w:lineRule="auto"/>
        <w:contextualSpacing/>
        <w:rPr>
          <w:rFonts w:ascii="Times New Roman" w:hAnsi="Times New Roman" w:cs="Times New Roman"/>
          <w:i/>
          <w:sz w:val="24"/>
          <w:szCs w:val="24"/>
          <w:shd w:val="clear" w:color="auto" w:fill="FFFFFF"/>
        </w:rPr>
      </w:pPr>
      <w:r w:rsidRPr="00F33937">
        <w:rPr>
          <w:rFonts w:ascii="Times New Roman" w:hAnsi="Times New Roman" w:cs="Times New Roman"/>
          <w:sz w:val="24"/>
          <w:szCs w:val="24"/>
          <w:shd w:val="clear" w:color="auto" w:fill="FFFFFF"/>
        </w:rPr>
        <w:tab/>
      </w:r>
      <w:r w:rsidR="002234B5" w:rsidRPr="00F33937">
        <w:rPr>
          <w:rFonts w:ascii="Times New Roman" w:hAnsi="Times New Roman" w:cs="Times New Roman"/>
          <w:sz w:val="24"/>
          <w:szCs w:val="24"/>
          <w:shd w:val="clear" w:color="auto" w:fill="FFFFFF"/>
        </w:rPr>
        <w:t xml:space="preserve">Having ratified in 1984 </w:t>
      </w:r>
      <w:r w:rsidRPr="00F33937">
        <w:rPr>
          <w:rFonts w:ascii="Times New Roman" w:hAnsi="Times New Roman" w:cs="Times New Roman"/>
          <w:sz w:val="24"/>
          <w:szCs w:val="24"/>
          <w:shd w:val="clear" w:color="auto" w:fill="FFFFFF"/>
        </w:rPr>
        <w:t>the </w:t>
      </w:r>
      <w:r w:rsidR="00886A54" w:rsidRPr="00F33937">
        <w:rPr>
          <w:rFonts w:ascii="Times New Roman" w:hAnsi="Times New Roman" w:cs="Times New Roman"/>
          <w:iCs/>
          <w:sz w:val="24"/>
          <w:szCs w:val="24"/>
          <w:shd w:val="clear" w:color="auto" w:fill="FFFFFF"/>
        </w:rPr>
        <w:t>American Convention on Human Rights</w:t>
      </w:r>
      <w:r w:rsidR="007406A8" w:rsidRPr="00F33937">
        <w:rPr>
          <w:rFonts w:ascii="Times New Roman" w:hAnsi="Times New Roman" w:cs="Times New Roman"/>
          <w:iCs/>
          <w:sz w:val="24"/>
          <w:szCs w:val="24"/>
          <w:shd w:val="clear" w:color="auto" w:fill="FFFFFF"/>
        </w:rPr>
        <w:t xml:space="preserve"> and other instruments</w:t>
      </w:r>
      <w:r w:rsidR="002234B5" w:rsidRPr="00F33937">
        <w:rPr>
          <w:rStyle w:val="FootnoteReference"/>
          <w:rFonts w:ascii="Times New Roman" w:hAnsi="Times New Roman" w:cs="Times New Roman"/>
          <w:iCs/>
          <w:sz w:val="24"/>
          <w:szCs w:val="24"/>
          <w:shd w:val="clear" w:color="auto" w:fill="FFFFFF"/>
        </w:rPr>
        <w:footnoteReference w:id="32"/>
      </w:r>
      <w:r w:rsidR="002234B5" w:rsidRPr="00F33937">
        <w:rPr>
          <w:rFonts w:ascii="Times New Roman" w:hAnsi="Times New Roman" w:cs="Times New Roman"/>
          <w:iCs/>
          <w:sz w:val="24"/>
          <w:szCs w:val="24"/>
          <w:shd w:val="clear" w:color="auto" w:fill="FFFFFF"/>
        </w:rPr>
        <w:t xml:space="preserve"> befitting an Organization of American States</w:t>
      </w:r>
      <w:r w:rsidR="008D23FD" w:rsidRPr="00F33937">
        <w:rPr>
          <w:rFonts w:ascii="Times New Roman" w:hAnsi="Times New Roman" w:cs="Times New Roman"/>
          <w:iCs/>
          <w:sz w:val="24"/>
          <w:szCs w:val="24"/>
          <w:shd w:val="clear" w:color="auto" w:fill="FFFFFF"/>
        </w:rPr>
        <w:t xml:space="preserve"> </w:t>
      </w:r>
      <w:r w:rsidR="002234B5" w:rsidRPr="00F33937">
        <w:rPr>
          <w:rFonts w:ascii="Times New Roman" w:hAnsi="Times New Roman" w:cs="Times New Roman"/>
          <w:iCs/>
          <w:sz w:val="24"/>
          <w:szCs w:val="24"/>
          <w:shd w:val="clear" w:color="auto" w:fill="FFFFFF"/>
        </w:rPr>
        <w:t>member</w:t>
      </w:r>
      <w:r w:rsidRPr="00F33937">
        <w:rPr>
          <w:rFonts w:ascii="Times New Roman" w:hAnsi="Times New Roman" w:cs="Times New Roman"/>
          <w:iCs/>
          <w:sz w:val="24"/>
          <w:szCs w:val="24"/>
          <w:shd w:val="clear" w:color="auto" w:fill="FFFFFF"/>
        </w:rPr>
        <w:t>,</w:t>
      </w:r>
      <w:r w:rsidRPr="00F33937">
        <w:rPr>
          <w:rFonts w:ascii="Times New Roman" w:hAnsi="Times New Roman" w:cs="Times New Roman"/>
          <w:i/>
          <w:iCs/>
          <w:sz w:val="24"/>
          <w:szCs w:val="24"/>
          <w:shd w:val="clear" w:color="auto" w:fill="FFFFFF"/>
        </w:rPr>
        <w:t xml:space="preserve"> </w:t>
      </w:r>
      <w:r w:rsidR="00886A54" w:rsidRPr="00F33937">
        <w:rPr>
          <w:rFonts w:ascii="Times New Roman" w:hAnsi="Times New Roman" w:cs="Times New Roman"/>
          <w:sz w:val="24"/>
          <w:szCs w:val="24"/>
          <w:shd w:val="clear" w:color="auto" w:fill="FFFFFF"/>
        </w:rPr>
        <w:t xml:space="preserve">the Republic of Charechia </w:t>
      </w:r>
      <w:r w:rsidR="00361D96" w:rsidRPr="00F33937">
        <w:rPr>
          <w:rFonts w:ascii="Times New Roman" w:hAnsi="Times New Roman" w:cs="Times New Roman"/>
          <w:sz w:val="24"/>
          <w:szCs w:val="24"/>
          <w:shd w:val="clear" w:color="auto" w:fill="FFFFFF"/>
        </w:rPr>
        <w:t>also accepted the jurisdiction,</w:t>
      </w:r>
      <w:r w:rsidR="00D36AA6" w:rsidRPr="00F33937">
        <w:rPr>
          <w:rStyle w:val="FootnoteReference"/>
          <w:rFonts w:ascii="Times New Roman" w:hAnsi="Times New Roman" w:cs="Times New Roman"/>
          <w:sz w:val="24"/>
          <w:szCs w:val="24"/>
          <w:shd w:val="clear" w:color="auto" w:fill="FFFFFF"/>
        </w:rPr>
        <w:footnoteReference w:id="33"/>
      </w:r>
      <w:r w:rsidR="00361D96" w:rsidRPr="00F33937">
        <w:rPr>
          <w:rFonts w:ascii="Times New Roman" w:hAnsi="Times New Roman" w:cs="Times New Roman"/>
          <w:sz w:val="24"/>
          <w:szCs w:val="24"/>
          <w:shd w:val="clear" w:color="auto" w:fill="FFFFFF"/>
        </w:rPr>
        <w:t xml:space="preserve"> as of 2001,</w:t>
      </w:r>
      <w:r w:rsidR="00F5312A" w:rsidRPr="00F33937">
        <w:rPr>
          <w:rFonts w:ascii="Times New Roman" w:hAnsi="Times New Roman" w:cs="Times New Roman"/>
          <w:sz w:val="24"/>
          <w:szCs w:val="24"/>
          <w:shd w:val="clear" w:color="auto" w:fill="FFFFFF"/>
        </w:rPr>
        <w:t xml:space="preserve"> of</w:t>
      </w:r>
      <w:r w:rsidR="000A7F72" w:rsidRPr="00F33937">
        <w:rPr>
          <w:rFonts w:ascii="Times New Roman" w:hAnsi="Times New Roman" w:cs="Times New Roman"/>
          <w:sz w:val="24"/>
          <w:szCs w:val="24"/>
          <w:shd w:val="clear" w:color="auto" w:fill="FFFFFF"/>
        </w:rPr>
        <w:t xml:space="preserve"> the Inter-American Court of Human Rights, and therefore must comply with </w:t>
      </w:r>
      <w:r w:rsidR="00F24C93" w:rsidRPr="00F33937">
        <w:rPr>
          <w:rFonts w:ascii="Times New Roman" w:hAnsi="Times New Roman" w:cs="Times New Roman"/>
          <w:sz w:val="24"/>
          <w:szCs w:val="24"/>
          <w:shd w:val="clear" w:color="auto" w:fill="FFFFFF"/>
        </w:rPr>
        <w:t xml:space="preserve">the </w:t>
      </w:r>
      <w:r w:rsidR="002234B5" w:rsidRPr="00F33937">
        <w:rPr>
          <w:rFonts w:ascii="Times New Roman" w:hAnsi="Times New Roman" w:cs="Times New Roman"/>
          <w:sz w:val="24"/>
          <w:szCs w:val="24"/>
          <w:shd w:val="clear" w:color="auto" w:fill="FFFFFF"/>
        </w:rPr>
        <w:t>recommendat</w:t>
      </w:r>
      <w:r w:rsidR="000A7F72" w:rsidRPr="00F33937">
        <w:rPr>
          <w:rFonts w:ascii="Times New Roman" w:hAnsi="Times New Roman" w:cs="Times New Roman"/>
          <w:sz w:val="24"/>
          <w:szCs w:val="24"/>
          <w:shd w:val="clear" w:color="auto" w:fill="FFFFFF"/>
        </w:rPr>
        <w:t>ions, rulings and orders of that</w:t>
      </w:r>
      <w:r w:rsidR="00F5312A" w:rsidRPr="00F33937">
        <w:rPr>
          <w:rFonts w:ascii="Times New Roman" w:hAnsi="Times New Roman" w:cs="Times New Roman"/>
          <w:sz w:val="24"/>
          <w:szCs w:val="24"/>
          <w:shd w:val="clear" w:color="auto" w:fill="FFFFFF"/>
        </w:rPr>
        <w:t xml:space="preserve"> body</w:t>
      </w:r>
      <w:r w:rsidR="000A7F72" w:rsidRPr="00F33937">
        <w:rPr>
          <w:rFonts w:ascii="Times New Roman" w:hAnsi="Times New Roman" w:cs="Times New Roman"/>
          <w:sz w:val="24"/>
          <w:szCs w:val="24"/>
          <w:shd w:val="clear" w:color="auto" w:fill="FFFFFF"/>
        </w:rPr>
        <w:t>.</w:t>
      </w:r>
    </w:p>
    <w:p w14:paraId="183490D9" w14:textId="77777777" w:rsidR="007172BA" w:rsidRPr="00F33937" w:rsidRDefault="007172BA" w:rsidP="00407895">
      <w:pPr>
        <w:spacing w:line="480" w:lineRule="auto"/>
        <w:contextualSpacing/>
        <w:rPr>
          <w:rFonts w:ascii="Times New Roman" w:hAnsi="Times New Roman" w:cs="Times New Roman"/>
          <w:i/>
          <w:sz w:val="24"/>
          <w:szCs w:val="24"/>
          <w:shd w:val="clear" w:color="auto" w:fill="FFFFFF"/>
        </w:rPr>
      </w:pPr>
    </w:p>
    <w:p w14:paraId="515711FE" w14:textId="145A0ECC" w:rsidR="00A83B90" w:rsidRPr="00F33937" w:rsidRDefault="00A83B90"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1.2 – Waiver of Right to Object by the Republic of Charechia</w:t>
      </w:r>
    </w:p>
    <w:p w14:paraId="69225443" w14:textId="530DC02E" w:rsidR="009F3C02" w:rsidRPr="00F33937" w:rsidRDefault="00FE1F18"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 xml:space="preserve">As the State raised no issue to the </w:t>
      </w:r>
      <w:r w:rsidR="00317675" w:rsidRPr="00F33937">
        <w:rPr>
          <w:rFonts w:ascii="Times New Roman" w:hAnsi="Times New Roman" w:cs="Times New Roman"/>
          <w:sz w:val="24"/>
          <w:szCs w:val="24"/>
        </w:rPr>
        <w:t xml:space="preserve">Inter-American </w:t>
      </w:r>
      <w:r w:rsidRPr="00F33937">
        <w:rPr>
          <w:rFonts w:ascii="Times New Roman" w:hAnsi="Times New Roman" w:cs="Times New Roman"/>
          <w:sz w:val="24"/>
          <w:szCs w:val="24"/>
        </w:rPr>
        <w:t xml:space="preserve">Commission </w:t>
      </w:r>
      <w:r w:rsidR="00317675" w:rsidRPr="00F33937">
        <w:rPr>
          <w:rFonts w:ascii="Times New Roman" w:hAnsi="Times New Roman" w:cs="Times New Roman"/>
          <w:sz w:val="24"/>
          <w:szCs w:val="24"/>
        </w:rPr>
        <w:t>on Human R</w:t>
      </w:r>
      <w:r w:rsidR="001D0945" w:rsidRPr="00F33937">
        <w:rPr>
          <w:rFonts w:ascii="Times New Roman" w:hAnsi="Times New Roman" w:cs="Times New Roman"/>
          <w:sz w:val="24"/>
          <w:szCs w:val="24"/>
        </w:rPr>
        <w:t>ights</w:t>
      </w:r>
      <w:r w:rsidR="00317675" w:rsidRPr="00F33937">
        <w:rPr>
          <w:rFonts w:ascii="Times New Roman" w:hAnsi="Times New Roman" w:cs="Times New Roman"/>
          <w:sz w:val="24"/>
          <w:szCs w:val="24"/>
        </w:rPr>
        <w:t xml:space="preserve"> </w:t>
      </w:r>
      <w:r w:rsidRPr="00F33937">
        <w:rPr>
          <w:rFonts w:ascii="Times New Roman" w:hAnsi="Times New Roman" w:cs="Times New Roman"/>
          <w:sz w:val="24"/>
          <w:szCs w:val="24"/>
        </w:rPr>
        <w:t xml:space="preserve">over domestic remedies </w:t>
      </w:r>
      <w:r w:rsidR="00362721" w:rsidRPr="00F33937">
        <w:rPr>
          <w:rFonts w:ascii="Times New Roman" w:hAnsi="Times New Roman" w:cs="Times New Roman"/>
          <w:sz w:val="24"/>
          <w:szCs w:val="24"/>
        </w:rPr>
        <w:t>non-</w:t>
      </w:r>
      <w:r w:rsidRPr="00F33937">
        <w:rPr>
          <w:rFonts w:ascii="Times New Roman" w:hAnsi="Times New Roman" w:cs="Times New Roman"/>
          <w:sz w:val="24"/>
          <w:szCs w:val="24"/>
        </w:rPr>
        <w:t>exhaustion,</w:t>
      </w:r>
      <w:r w:rsidRPr="00F33937">
        <w:rPr>
          <w:rStyle w:val="FootnoteReference"/>
          <w:rFonts w:ascii="Times New Roman" w:hAnsi="Times New Roman" w:cs="Times New Roman"/>
          <w:sz w:val="24"/>
          <w:szCs w:val="24"/>
        </w:rPr>
        <w:footnoteReference w:id="34"/>
      </w:r>
      <w:r w:rsidRPr="00F33937">
        <w:rPr>
          <w:rFonts w:ascii="Times New Roman" w:hAnsi="Times New Roman" w:cs="Times New Roman"/>
          <w:sz w:val="24"/>
          <w:szCs w:val="24"/>
        </w:rPr>
        <w:t xml:space="preserve"> it has waived implicitly the right to raise the issue before the</w:t>
      </w:r>
      <w:r w:rsidR="00317675" w:rsidRPr="00F33937">
        <w:rPr>
          <w:rFonts w:ascii="Times New Roman" w:hAnsi="Times New Roman" w:cs="Times New Roman"/>
          <w:sz w:val="24"/>
          <w:szCs w:val="24"/>
        </w:rPr>
        <w:t xml:space="preserve"> Inter-American</w:t>
      </w:r>
      <w:r w:rsidRPr="00F33937">
        <w:rPr>
          <w:rFonts w:ascii="Times New Roman" w:hAnsi="Times New Roman" w:cs="Times New Roman"/>
          <w:sz w:val="24"/>
          <w:szCs w:val="24"/>
        </w:rPr>
        <w:t xml:space="preserve"> Court</w:t>
      </w:r>
      <w:r w:rsidR="00317675" w:rsidRPr="00F33937">
        <w:rPr>
          <w:rFonts w:ascii="Times New Roman" w:hAnsi="Times New Roman" w:cs="Times New Roman"/>
          <w:sz w:val="24"/>
          <w:szCs w:val="24"/>
        </w:rPr>
        <w:t xml:space="preserve"> of Human R</w:t>
      </w:r>
      <w:r w:rsidR="00E6360C" w:rsidRPr="00F33937">
        <w:rPr>
          <w:rFonts w:ascii="Times New Roman" w:hAnsi="Times New Roman" w:cs="Times New Roman"/>
          <w:sz w:val="24"/>
          <w:szCs w:val="24"/>
        </w:rPr>
        <w:t>ights</w:t>
      </w:r>
      <w:r w:rsidRPr="00F33937">
        <w:rPr>
          <w:rFonts w:ascii="Times New Roman" w:hAnsi="Times New Roman" w:cs="Times New Roman"/>
          <w:sz w:val="24"/>
          <w:szCs w:val="24"/>
        </w:rPr>
        <w:t>.</w:t>
      </w:r>
    </w:p>
    <w:p w14:paraId="13D707FD" w14:textId="77777777" w:rsidR="00084946" w:rsidRDefault="00084946" w:rsidP="00407895">
      <w:pPr>
        <w:spacing w:line="480" w:lineRule="auto"/>
        <w:contextualSpacing/>
        <w:rPr>
          <w:rFonts w:ascii="Times New Roman" w:hAnsi="Times New Roman" w:cs="Times New Roman"/>
          <w:sz w:val="24"/>
          <w:szCs w:val="24"/>
        </w:rPr>
      </w:pPr>
    </w:p>
    <w:p w14:paraId="18CE90AA" w14:textId="39355296" w:rsidR="00A83B90" w:rsidRPr="00F33937" w:rsidRDefault="00A83B90"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1.3 – Exhaustion of Domestic Remedies</w:t>
      </w:r>
    </w:p>
    <w:p w14:paraId="69773C06" w14:textId="13CB0620" w:rsidR="0028748C" w:rsidRPr="00F33937" w:rsidRDefault="00A83B90"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3A641A" w:rsidRPr="00F33937">
        <w:rPr>
          <w:rFonts w:ascii="Times New Roman" w:hAnsi="Times New Roman" w:cs="Times New Roman"/>
          <w:sz w:val="24"/>
          <w:szCs w:val="24"/>
        </w:rPr>
        <w:t>Through appealing individually to the Charechian government’s municipa</w:t>
      </w:r>
      <w:r w:rsidR="00651649">
        <w:rPr>
          <w:rFonts w:ascii="Times New Roman" w:hAnsi="Times New Roman" w:cs="Times New Roman"/>
          <w:sz w:val="24"/>
          <w:szCs w:val="24"/>
        </w:rPr>
        <w:t>l, secondary, and Supreme Court</w:t>
      </w:r>
      <w:r w:rsidR="003A641A" w:rsidRPr="00F33937">
        <w:rPr>
          <w:rFonts w:ascii="Times New Roman" w:hAnsi="Times New Roman" w:cs="Times New Roman"/>
          <w:sz w:val="24"/>
          <w:szCs w:val="24"/>
        </w:rPr>
        <w:t xml:space="preserve"> the </w:t>
      </w:r>
      <w:r w:rsidRPr="00F33937">
        <w:rPr>
          <w:rFonts w:ascii="Times New Roman" w:hAnsi="Times New Roman" w:cs="Times New Roman"/>
          <w:sz w:val="24"/>
          <w:szCs w:val="24"/>
        </w:rPr>
        <w:t>three families gained, respectively, no or inequitable</w:t>
      </w:r>
      <w:r w:rsidR="003A641A" w:rsidRPr="00F33937">
        <w:rPr>
          <w:rFonts w:ascii="Times New Roman" w:hAnsi="Times New Roman" w:cs="Times New Roman"/>
          <w:sz w:val="24"/>
          <w:szCs w:val="24"/>
        </w:rPr>
        <w:t xml:space="preserve"> compensation.</w:t>
      </w:r>
      <w:r w:rsidR="0066460F" w:rsidRPr="00F33937">
        <w:rPr>
          <w:rStyle w:val="FootnoteReference"/>
          <w:rFonts w:ascii="Times New Roman" w:hAnsi="Times New Roman" w:cs="Times New Roman"/>
          <w:sz w:val="24"/>
          <w:szCs w:val="24"/>
        </w:rPr>
        <w:footnoteReference w:id="35"/>
      </w:r>
      <w:r w:rsidR="003A641A" w:rsidRPr="00F33937">
        <w:rPr>
          <w:rFonts w:ascii="Times New Roman" w:hAnsi="Times New Roman" w:cs="Times New Roman"/>
          <w:sz w:val="24"/>
          <w:szCs w:val="24"/>
        </w:rPr>
        <w:t xml:space="preserve"> </w:t>
      </w:r>
      <w:r w:rsidR="00011EF9" w:rsidRPr="00F33937">
        <w:rPr>
          <w:rFonts w:ascii="Times New Roman" w:hAnsi="Times New Roman" w:cs="Times New Roman"/>
          <w:sz w:val="24"/>
          <w:szCs w:val="24"/>
        </w:rPr>
        <w:t xml:space="preserve"> </w:t>
      </w:r>
      <w:r w:rsidR="003A641A" w:rsidRPr="00F33937">
        <w:rPr>
          <w:rFonts w:ascii="Times New Roman" w:hAnsi="Times New Roman" w:cs="Times New Roman"/>
          <w:sz w:val="24"/>
          <w:szCs w:val="24"/>
        </w:rPr>
        <w:t xml:space="preserve">Upon </w:t>
      </w:r>
      <w:r w:rsidR="00335066" w:rsidRPr="00F33937">
        <w:rPr>
          <w:rFonts w:ascii="Times New Roman" w:hAnsi="Times New Roman" w:cs="Times New Roman"/>
          <w:sz w:val="24"/>
          <w:szCs w:val="24"/>
        </w:rPr>
        <w:t>approaching the State</w:t>
      </w:r>
      <w:r w:rsidR="00F24C93" w:rsidRPr="00F33937">
        <w:rPr>
          <w:rFonts w:ascii="Times New Roman" w:hAnsi="Times New Roman" w:cs="Times New Roman"/>
          <w:sz w:val="24"/>
          <w:szCs w:val="24"/>
        </w:rPr>
        <w:t xml:space="preserve"> again</w:t>
      </w:r>
      <w:r w:rsidR="00335066" w:rsidRPr="00F33937">
        <w:rPr>
          <w:rFonts w:ascii="Times New Roman" w:hAnsi="Times New Roman" w:cs="Times New Roman"/>
          <w:sz w:val="24"/>
          <w:szCs w:val="24"/>
        </w:rPr>
        <w:t xml:space="preserve"> via joinder, Charechia’s</w:t>
      </w:r>
      <w:r w:rsidR="00FF13D4" w:rsidRPr="00F33937">
        <w:rPr>
          <w:rFonts w:ascii="Times New Roman" w:hAnsi="Times New Roman" w:cs="Times New Roman"/>
          <w:sz w:val="24"/>
          <w:szCs w:val="24"/>
        </w:rPr>
        <w:t xml:space="preserve"> secondary court dismissed the Families’</w:t>
      </w:r>
      <w:r w:rsidR="00E6360C" w:rsidRPr="00F33937">
        <w:rPr>
          <w:rFonts w:ascii="Times New Roman" w:hAnsi="Times New Roman" w:cs="Times New Roman"/>
          <w:sz w:val="24"/>
          <w:szCs w:val="24"/>
        </w:rPr>
        <w:t xml:space="preserve"> suit on </w:t>
      </w:r>
      <w:r w:rsidR="00335066" w:rsidRPr="00F33937">
        <w:rPr>
          <w:rFonts w:ascii="Times New Roman" w:hAnsi="Times New Roman" w:cs="Times New Roman"/>
          <w:sz w:val="24"/>
          <w:szCs w:val="24"/>
        </w:rPr>
        <w:t>March 1</w:t>
      </w:r>
      <w:r w:rsidR="00E6360C" w:rsidRPr="00F33937">
        <w:rPr>
          <w:rFonts w:ascii="Times New Roman" w:hAnsi="Times New Roman" w:cs="Times New Roman"/>
          <w:sz w:val="24"/>
          <w:szCs w:val="24"/>
        </w:rPr>
        <w:t>, 2019</w:t>
      </w:r>
      <w:r w:rsidR="00FF13D4" w:rsidRPr="00F33937">
        <w:rPr>
          <w:rFonts w:ascii="Times New Roman" w:hAnsi="Times New Roman" w:cs="Times New Roman"/>
          <w:sz w:val="24"/>
          <w:szCs w:val="24"/>
        </w:rPr>
        <w:t>,</w:t>
      </w:r>
      <w:r w:rsidR="004C145B" w:rsidRPr="00F33937">
        <w:rPr>
          <w:rFonts w:ascii="Times New Roman" w:hAnsi="Times New Roman" w:cs="Times New Roman"/>
          <w:sz w:val="24"/>
          <w:szCs w:val="24"/>
        </w:rPr>
        <w:t xml:space="preserve"> under contentious </w:t>
      </w:r>
      <w:r w:rsidR="0069407A" w:rsidRPr="00F33937">
        <w:rPr>
          <w:rFonts w:ascii="Times New Roman" w:hAnsi="Times New Roman" w:cs="Times New Roman"/>
          <w:sz w:val="24"/>
          <w:szCs w:val="24"/>
        </w:rPr>
        <w:t>pronouncement that both due diligence h</w:t>
      </w:r>
      <w:r w:rsidR="00062C42" w:rsidRPr="00F33937">
        <w:rPr>
          <w:rFonts w:ascii="Times New Roman" w:hAnsi="Times New Roman" w:cs="Times New Roman"/>
          <w:sz w:val="24"/>
          <w:szCs w:val="24"/>
        </w:rPr>
        <w:t xml:space="preserve">ad been performed in addressing </w:t>
      </w:r>
      <w:r w:rsidR="00FE1F18" w:rsidRPr="00F33937">
        <w:rPr>
          <w:rFonts w:ascii="Times New Roman" w:hAnsi="Times New Roman" w:cs="Times New Roman"/>
          <w:sz w:val="24"/>
          <w:szCs w:val="24"/>
        </w:rPr>
        <w:t>(</w:t>
      </w:r>
      <w:r w:rsidR="00062C42" w:rsidRPr="00F33937">
        <w:rPr>
          <w:rFonts w:ascii="Times New Roman" w:hAnsi="Times New Roman" w:cs="Times New Roman"/>
          <w:sz w:val="24"/>
          <w:szCs w:val="24"/>
        </w:rPr>
        <w:t>via bomb</w:t>
      </w:r>
      <w:r w:rsidR="00011EF9" w:rsidRPr="00F33937">
        <w:rPr>
          <w:rFonts w:ascii="Times New Roman" w:hAnsi="Times New Roman" w:cs="Times New Roman"/>
          <w:sz w:val="24"/>
          <w:szCs w:val="24"/>
        </w:rPr>
        <w:t>ing raid</w:t>
      </w:r>
      <w:r w:rsidR="00FE1F18" w:rsidRPr="00F33937">
        <w:rPr>
          <w:rFonts w:ascii="Times New Roman" w:hAnsi="Times New Roman" w:cs="Times New Roman"/>
          <w:sz w:val="24"/>
          <w:szCs w:val="24"/>
        </w:rPr>
        <w:t>)</w:t>
      </w:r>
      <w:r w:rsidR="00062C42" w:rsidRPr="00F33937">
        <w:rPr>
          <w:rFonts w:ascii="Times New Roman" w:hAnsi="Times New Roman" w:cs="Times New Roman"/>
          <w:sz w:val="24"/>
          <w:szCs w:val="24"/>
        </w:rPr>
        <w:t xml:space="preserve"> the </w:t>
      </w:r>
      <w:r w:rsidR="0069407A" w:rsidRPr="00F33937">
        <w:rPr>
          <w:rFonts w:ascii="Times New Roman" w:hAnsi="Times New Roman" w:cs="Times New Roman"/>
          <w:sz w:val="24"/>
          <w:szCs w:val="24"/>
        </w:rPr>
        <w:t>s</w:t>
      </w:r>
      <w:r w:rsidR="00062C42" w:rsidRPr="00F33937">
        <w:rPr>
          <w:rFonts w:ascii="Times New Roman" w:hAnsi="Times New Roman" w:cs="Times New Roman"/>
          <w:sz w:val="24"/>
          <w:szCs w:val="24"/>
        </w:rPr>
        <w:t>ecessionist actors’ enmeshed presence</w:t>
      </w:r>
      <w:r w:rsidR="009D2968" w:rsidRPr="00F33937">
        <w:rPr>
          <w:rFonts w:ascii="Times New Roman" w:hAnsi="Times New Roman" w:cs="Times New Roman"/>
          <w:sz w:val="24"/>
          <w:szCs w:val="24"/>
        </w:rPr>
        <w:t xml:space="preserve"> at </w:t>
      </w:r>
      <w:r w:rsidR="0069407A" w:rsidRPr="00F33937">
        <w:rPr>
          <w:rFonts w:ascii="Times New Roman" w:hAnsi="Times New Roman" w:cs="Times New Roman"/>
          <w:sz w:val="24"/>
          <w:szCs w:val="24"/>
        </w:rPr>
        <w:t xml:space="preserve">Petitioners’ village and </w:t>
      </w:r>
      <w:r w:rsidR="005439CA" w:rsidRPr="00F33937">
        <w:rPr>
          <w:rFonts w:ascii="Times New Roman" w:hAnsi="Times New Roman" w:cs="Times New Roman"/>
          <w:sz w:val="24"/>
          <w:szCs w:val="24"/>
        </w:rPr>
        <w:t xml:space="preserve">that </w:t>
      </w:r>
      <w:r w:rsidR="00FF13D4" w:rsidRPr="00F33937">
        <w:rPr>
          <w:rFonts w:ascii="Times New Roman" w:hAnsi="Times New Roman" w:cs="Times New Roman"/>
          <w:sz w:val="24"/>
          <w:szCs w:val="24"/>
        </w:rPr>
        <w:t xml:space="preserve">those same </w:t>
      </w:r>
      <w:r w:rsidR="00062C42" w:rsidRPr="00F33937">
        <w:rPr>
          <w:rFonts w:ascii="Times New Roman" w:hAnsi="Times New Roman" w:cs="Times New Roman"/>
          <w:sz w:val="24"/>
          <w:szCs w:val="24"/>
        </w:rPr>
        <w:t>government raids</w:t>
      </w:r>
      <w:r w:rsidR="005439CA" w:rsidRPr="00F33937">
        <w:rPr>
          <w:rFonts w:ascii="Times New Roman" w:hAnsi="Times New Roman" w:cs="Times New Roman"/>
          <w:sz w:val="24"/>
          <w:szCs w:val="24"/>
        </w:rPr>
        <w:t xml:space="preserve"> resulted in an “unusually high percentage of non-military casualties</w:t>
      </w:r>
      <w:r w:rsidR="00E7531F" w:rsidRPr="00F33937">
        <w:rPr>
          <w:rFonts w:ascii="Times New Roman" w:hAnsi="Times New Roman" w:cs="Times New Roman"/>
          <w:sz w:val="24"/>
          <w:szCs w:val="24"/>
        </w:rPr>
        <w:t>.</w:t>
      </w:r>
      <w:r w:rsidR="005439CA" w:rsidRPr="00F33937">
        <w:rPr>
          <w:rFonts w:ascii="Times New Roman" w:hAnsi="Times New Roman" w:cs="Times New Roman"/>
          <w:sz w:val="24"/>
          <w:szCs w:val="24"/>
        </w:rPr>
        <w:t>”</w:t>
      </w:r>
      <w:r w:rsidR="009D2968" w:rsidRPr="00F33937">
        <w:rPr>
          <w:rStyle w:val="FootnoteReference"/>
          <w:rFonts w:ascii="Times New Roman" w:hAnsi="Times New Roman" w:cs="Times New Roman"/>
          <w:sz w:val="24"/>
          <w:szCs w:val="24"/>
        </w:rPr>
        <w:footnoteReference w:id="36"/>
      </w:r>
      <w:r w:rsidR="00160444" w:rsidRPr="00F33937">
        <w:rPr>
          <w:rFonts w:ascii="Times New Roman" w:hAnsi="Times New Roman" w:cs="Times New Roman"/>
          <w:sz w:val="24"/>
          <w:szCs w:val="24"/>
        </w:rPr>
        <w:t xml:space="preserve">  </w:t>
      </w:r>
    </w:p>
    <w:p w14:paraId="3EA50469" w14:textId="610286CA" w:rsidR="00B20209" w:rsidRPr="00F33937" w:rsidRDefault="0028748C"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160444" w:rsidRPr="00F33937">
        <w:rPr>
          <w:rFonts w:ascii="Times New Roman" w:hAnsi="Times New Roman" w:cs="Times New Roman"/>
          <w:sz w:val="24"/>
          <w:szCs w:val="24"/>
        </w:rPr>
        <w:t>With the exception of monies awarded to the Guajillo family, the State’s refusal of</w:t>
      </w:r>
      <w:r w:rsidR="00FF13D4" w:rsidRPr="00F33937">
        <w:rPr>
          <w:rFonts w:ascii="Times New Roman" w:hAnsi="Times New Roman" w:cs="Times New Roman"/>
          <w:sz w:val="24"/>
          <w:szCs w:val="24"/>
        </w:rPr>
        <w:t xml:space="preserve"> restitution</w:t>
      </w:r>
      <w:r w:rsidR="00190499" w:rsidRPr="00F33937">
        <w:rPr>
          <w:rFonts w:ascii="Times New Roman" w:hAnsi="Times New Roman" w:cs="Times New Roman"/>
          <w:sz w:val="24"/>
          <w:szCs w:val="24"/>
        </w:rPr>
        <w:t xml:space="preserve"> toward </w:t>
      </w:r>
      <w:r w:rsidR="00894DF1" w:rsidRPr="00F33937">
        <w:rPr>
          <w:rFonts w:ascii="Times New Roman" w:hAnsi="Times New Roman" w:cs="Times New Roman"/>
          <w:sz w:val="24"/>
          <w:szCs w:val="24"/>
        </w:rPr>
        <w:t xml:space="preserve">the remaining </w:t>
      </w:r>
      <w:r w:rsidR="00160444" w:rsidRPr="00F33937">
        <w:rPr>
          <w:rFonts w:ascii="Times New Roman" w:hAnsi="Times New Roman" w:cs="Times New Roman"/>
          <w:sz w:val="24"/>
          <w:szCs w:val="24"/>
        </w:rPr>
        <w:t>parties</w:t>
      </w:r>
      <w:r w:rsidR="001B6102" w:rsidRPr="00F33937">
        <w:rPr>
          <w:rFonts w:ascii="Times New Roman" w:hAnsi="Times New Roman" w:cs="Times New Roman"/>
          <w:sz w:val="24"/>
          <w:szCs w:val="24"/>
        </w:rPr>
        <w:t xml:space="preserve"> to the </w:t>
      </w:r>
      <w:r w:rsidR="004476AE" w:rsidRPr="00F33937">
        <w:rPr>
          <w:rFonts w:ascii="Times New Roman" w:hAnsi="Times New Roman" w:cs="Times New Roman"/>
          <w:sz w:val="24"/>
          <w:szCs w:val="24"/>
        </w:rPr>
        <w:t xml:space="preserve">instant </w:t>
      </w:r>
      <w:r w:rsidR="001B6102" w:rsidRPr="00F33937">
        <w:rPr>
          <w:rFonts w:ascii="Times New Roman" w:hAnsi="Times New Roman" w:cs="Times New Roman"/>
          <w:sz w:val="24"/>
          <w:szCs w:val="24"/>
        </w:rPr>
        <w:t>petition</w:t>
      </w:r>
      <w:r w:rsidR="004476AE" w:rsidRPr="00F33937">
        <w:rPr>
          <w:rFonts w:ascii="Times New Roman" w:hAnsi="Times New Roman" w:cs="Times New Roman"/>
          <w:sz w:val="24"/>
          <w:szCs w:val="24"/>
        </w:rPr>
        <w:t xml:space="preserve"> </w:t>
      </w:r>
      <w:r w:rsidR="0011236C" w:rsidRPr="00F33937">
        <w:rPr>
          <w:rFonts w:ascii="Times New Roman" w:hAnsi="Times New Roman" w:cs="Times New Roman"/>
          <w:sz w:val="24"/>
          <w:szCs w:val="24"/>
        </w:rPr>
        <w:t>combine</w:t>
      </w:r>
      <w:r w:rsidR="001D719A" w:rsidRPr="00F33937">
        <w:rPr>
          <w:rFonts w:ascii="Times New Roman" w:hAnsi="Times New Roman" w:cs="Times New Roman"/>
          <w:sz w:val="24"/>
          <w:szCs w:val="24"/>
        </w:rPr>
        <w:t xml:space="preserve"> with the Republic’s ongoing </w:t>
      </w:r>
      <w:r w:rsidR="00FF13D4" w:rsidRPr="00F33937">
        <w:rPr>
          <w:rFonts w:ascii="Times New Roman" w:hAnsi="Times New Roman" w:cs="Times New Roman"/>
          <w:sz w:val="24"/>
          <w:szCs w:val="24"/>
        </w:rPr>
        <w:t xml:space="preserve">military </w:t>
      </w:r>
      <w:r w:rsidR="001D719A" w:rsidRPr="00F33937">
        <w:rPr>
          <w:rFonts w:ascii="Times New Roman" w:hAnsi="Times New Roman" w:cs="Times New Roman"/>
          <w:sz w:val="24"/>
          <w:szCs w:val="24"/>
        </w:rPr>
        <w:t>threat to Petitioners and others in the region</w:t>
      </w:r>
      <w:r w:rsidRPr="00F33937">
        <w:rPr>
          <w:rStyle w:val="FootnoteReference"/>
          <w:rFonts w:ascii="Times New Roman" w:hAnsi="Times New Roman" w:cs="Times New Roman"/>
          <w:sz w:val="24"/>
          <w:szCs w:val="24"/>
        </w:rPr>
        <w:footnoteReference w:id="37"/>
      </w:r>
      <w:r w:rsidR="001D719A" w:rsidRPr="00F33937">
        <w:rPr>
          <w:rFonts w:ascii="Times New Roman" w:hAnsi="Times New Roman" w:cs="Times New Roman"/>
          <w:sz w:val="24"/>
          <w:szCs w:val="24"/>
        </w:rPr>
        <w:t xml:space="preserve"> </w:t>
      </w:r>
      <w:r w:rsidR="0011236C" w:rsidRPr="00F33937">
        <w:rPr>
          <w:rFonts w:ascii="Times New Roman" w:hAnsi="Times New Roman" w:cs="Times New Roman"/>
          <w:sz w:val="24"/>
          <w:szCs w:val="24"/>
        </w:rPr>
        <w:t>to constitute ineffective remedy.</w:t>
      </w:r>
      <w:r w:rsidR="002D1237" w:rsidRPr="00F33937">
        <w:rPr>
          <w:rStyle w:val="FootnoteReference"/>
          <w:rFonts w:ascii="Times New Roman" w:hAnsi="Times New Roman" w:cs="Times New Roman"/>
          <w:sz w:val="24"/>
          <w:szCs w:val="24"/>
        </w:rPr>
        <w:footnoteReference w:id="38"/>
      </w:r>
      <w:r w:rsidR="00160444" w:rsidRPr="00F33937">
        <w:rPr>
          <w:rFonts w:ascii="Times New Roman" w:hAnsi="Times New Roman" w:cs="Times New Roman"/>
          <w:sz w:val="24"/>
          <w:szCs w:val="24"/>
        </w:rPr>
        <w:t xml:space="preserve"> </w:t>
      </w:r>
      <w:r w:rsidR="00C27321" w:rsidRPr="00F33937">
        <w:rPr>
          <w:rFonts w:ascii="Times New Roman" w:hAnsi="Times New Roman" w:cs="Times New Roman"/>
          <w:sz w:val="24"/>
          <w:szCs w:val="24"/>
        </w:rPr>
        <w:t xml:space="preserve"> </w:t>
      </w:r>
      <w:r w:rsidR="00C96F67" w:rsidRPr="00F33937">
        <w:rPr>
          <w:rFonts w:ascii="Times New Roman" w:hAnsi="Times New Roman" w:cs="Times New Roman"/>
          <w:sz w:val="24"/>
          <w:szCs w:val="24"/>
        </w:rPr>
        <w:t>Procedurally</w:t>
      </w:r>
      <w:r w:rsidR="00894DF1" w:rsidRPr="00F33937">
        <w:rPr>
          <w:rFonts w:ascii="Times New Roman" w:hAnsi="Times New Roman" w:cs="Times New Roman"/>
          <w:sz w:val="24"/>
          <w:szCs w:val="24"/>
        </w:rPr>
        <w:t xml:space="preserve"> and jurisdictionally</w:t>
      </w:r>
      <w:r w:rsidR="00C96F67" w:rsidRPr="00F33937">
        <w:rPr>
          <w:rFonts w:ascii="Times New Roman" w:hAnsi="Times New Roman" w:cs="Times New Roman"/>
          <w:sz w:val="24"/>
          <w:szCs w:val="24"/>
        </w:rPr>
        <w:t>, Petiti</w:t>
      </w:r>
      <w:r w:rsidRPr="00F33937">
        <w:rPr>
          <w:rFonts w:ascii="Times New Roman" w:hAnsi="Times New Roman" w:cs="Times New Roman"/>
          <w:sz w:val="24"/>
          <w:szCs w:val="24"/>
        </w:rPr>
        <w:t xml:space="preserve">oners </w:t>
      </w:r>
      <w:r w:rsidR="00EC1B07" w:rsidRPr="00F33937">
        <w:rPr>
          <w:rFonts w:ascii="Times New Roman" w:hAnsi="Times New Roman" w:cs="Times New Roman"/>
          <w:sz w:val="24"/>
          <w:szCs w:val="24"/>
        </w:rPr>
        <w:t xml:space="preserve">live in and </w:t>
      </w:r>
      <w:r w:rsidR="00FF13D4" w:rsidRPr="00F33937">
        <w:rPr>
          <w:rFonts w:ascii="Times New Roman" w:hAnsi="Times New Roman" w:cs="Times New Roman"/>
          <w:sz w:val="24"/>
          <w:szCs w:val="24"/>
        </w:rPr>
        <w:t xml:space="preserve">have </w:t>
      </w:r>
      <w:r w:rsidR="00EC1B07" w:rsidRPr="00F33937">
        <w:rPr>
          <w:rFonts w:ascii="Times New Roman" w:hAnsi="Times New Roman" w:cs="Times New Roman"/>
          <w:sz w:val="24"/>
          <w:szCs w:val="24"/>
        </w:rPr>
        <w:t>suffered violation in Western Charechia</w:t>
      </w:r>
      <w:r w:rsidR="00C96F67" w:rsidRPr="00F33937">
        <w:rPr>
          <w:rFonts w:ascii="Times New Roman" w:hAnsi="Times New Roman" w:cs="Times New Roman"/>
          <w:sz w:val="24"/>
          <w:szCs w:val="24"/>
        </w:rPr>
        <w:t xml:space="preserve"> in which </w:t>
      </w:r>
      <w:r w:rsidR="00EC1B07" w:rsidRPr="00F33937">
        <w:rPr>
          <w:rFonts w:ascii="Times New Roman" w:hAnsi="Times New Roman" w:cs="Times New Roman"/>
          <w:sz w:val="24"/>
          <w:szCs w:val="24"/>
        </w:rPr>
        <w:t xml:space="preserve">the State has established no </w:t>
      </w:r>
      <w:r w:rsidR="00C96F67" w:rsidRPr="00F33937">
        <w:rPr>
          <w:rFonts w:ascii="Times New Roman" w:hAnsi="Times New Roman" w:cs="Times New Roman"/>
          <w:sz w:val="24"/>
          <w:szCs w:val="24"/>
        </w:rPr>
        <w:t>c</w:t>
      </w:r>
      <w:r w:rsidR="00FF13D4" w:rsidRPr="00F33937">
        <w:rPr>
          <w:rFonts w:ascii="Times New Roman" w:hAnsi="Times New Roman" w:cs="Times New Roman"/>
          <w:sz w:val="24"/>
          <w:szCs w:val="24"/>
        </w:rPr>
        <w:t>ourts of appeal.</w:t>
      </w:r>
      <w:r w:rsidR="00166E33" w:rsidRPr="00F33937">
        <w:rPr>
          <w:rStyle w:val="FootnoteReference"/>
          <w:rFonts w:ascii="Times New Roman" w:hAnsi="Times New Roman" w:cs="Times New Roman"/>
          <w:sz w:val="24"/>
          <w:szCs w:val="24"/>
        </w:rPr>
        <w:footnoteReference w:id="39"/>
      </w:r>
      <w:r w:rsidR="00166E33" w:rsidRPr="00F33937">
        <w:rPr>
          <w:rFonts w:ascii="Times New Roman" w:hAnsi="Times New Roman" w:cs="Times New Roman"/>
          <w:sz w:val="24"/>
          <w:szCs w:val="24"/>
        </w:rPr>
        <w:t xml:space="preserve"> </w:t>
      </w:r>
      <w:r w:rsidR="00FF13D4" w:rsidRPr="00F33937">
        <w:rPr>
          <w:rFonts w:ascii="Times New Roman" w:hAnsi="Times New Roman" w:cs="Times New Roman"/>
          <w:sz w:val="24"/>
          <w:szCs w:val="24"/>
        </w:rPr>
        <w:t xml:space="preserve"> I</w:t>
      </w:r>
      <w:r w:rsidR="00190499" w:rsidRPr="00F33937">
        <w:rPr>
          <w:rFonts w:ascii="Times New Roman" w:hAnsi="Times New Roman" w:cs="Times New Roman"/>
          <w:sz w:val="24"/>
          <w:szCs w:val="24"/>
        </w:rPr>
        <w:t>n light of the Inter-American Commission’s</w:t>
      </w:r>
      <w:r w:rsidR="00FD51E8" w:rsidRPr="00F33937">
        <w:rPr>
          <w:rFonts w:ascii="Times New Roman" w:hAnsi="Times New Roman" w:cs="Times New Roman"/>
          <w:sz w:val="24"/>
          <w:szCs w:val="24"/>
        </w:rPr>
        <w:t xml:space="preserve"> pronouncement on </w:t>
      </w:r>
      <w:r w:rsidR="00651649">
        <w:rPr>
          <w:rFonts w:ascii="Times New Roman" w:hAnsi="Times New Roman" w:cs="Times New Roman"/>
          <w:sz w:val="24"/>
          <w:szCs w:val="24"/>
        </w:rPr>
        <w:t xml:space="preserve">OAS Member States’ structural obligation for </w:t>
      </w:r>
      <w:r w:rsidR="00FD51E8" w:rsidRPr="00F33937">
        <w:rPr>
          <w:rFonts w:ascii="Times New Roman" w:hAnsi="Times New Roman" w:cs="Times New Roman"/>
          <w:sz w:val="24"/>
          <w:szCs w:val="24"/>
        </w:rPr>
        <w:t xml:space="preserve">equitable tribunal access, </w:t>
      </w:r>
      <w:r w:rsidR="00C25889" w:rsidRPr="00F33937">
        <w:rPr>
          <w:rFonts w:ascii="Times New Roman" w:hAnsi="Times New Roman" w:cs="Times New Roman"/>
          <w:sz w:val="24"/>
          <w:szCs w:val="24"/>
        </w:rPr>
        <w:t xml:space="preserve">the State has denied Petitioners the </w:t>
      </w:r>
      <w:r w:rsidR="00F75D38" w:rsidRPr="00F33937">
        <w:rPr>
          <w:rFonts w:ascii="Times New Roman" w:hAnsi="Times New Roman" w:cs="Times New Roman"/>
          <w:sz w:val="24"/>
          <w:szCs w:val="24"/>
        </w:rPr>
        <w:t>opportunity to exhaust all domestic remedies.</w:t>
      </w:r>
      <w:r w:rsidR="00EC59FC" w:rsidRPr="00F33937">
        <w:rPr>
          <w:rStyle w:val="FootnoteReference"/>
          <w:rFonts w:ascii="Times New Roman" w:hAnsi="Times New Roman" w:cs="Times New Roman"/>
          <w:sz w:val="24"/>
          <w:szCs w:val="24"/>
        </w:rPr>
        <w:footnoteReference w:id="40"/>
      </w:r>
      <w:r w:rsidR="00B20209" w:rsidRPr="00F33937">
        <w:rPr>
          <w:rFonts w:ascii="Times New Roman" w:hAnsi="Times New Roman" w:cs="Times New Roman"/>
          <w:sz w:val="24"/>
          <w:szCs w:val="24"/>
        </w:rPr>
        <w:t xml:space="preserve"> </w:t>
      </w:r>
    </w:p>
    <w:p w14:paraId="07C35C67" w14:textId="77777777" w:rsidR="003868C4" w:rsidRDefault="003868C4" w:rsidP="00407895">
      <w:pPr>
        <w:spacing w:line="480" w:lineRule="auto"/>
        <w:contextualSpacing/>
        <w:rPr>
          <w:rFonts w:ascii="Times New Roman" w:hAnsi="Times New Roman" w:cs="Times New Roman"/>
          <w:sz w:val="24"/>
          <w:szCs w:val="24"/>
        </w:rPr>
      </w:pPr>
    </w:p>
    <w:p w14:paraId="3AD69F15" w14:textId="77777777" w:rsidR="00084946" w:rsidRDefault="00084946" w:rsidP="00407895">
      <w:pPr>
        <w:spacing w:line="480" w:lineRule="auto"/>
        <w:contextualSpacing/>
        <w:rPr>
          <w:rFonts w:ascii="Times New Roman" w:hAnsi="Times New Roman" w:cs="Times New Roman"/>
          <w:sz w:val="24"/>
          <w:szCs w:val="24"/>
        </w:rPr>
      </w:pPr>
    </w:p>
    <w:p w14:paraId="481181B9" w14:textId="4AB65962" w:rsidR="00BB7934" w:rsidRPr="00F33937" w:rsidRDefault="00314E61" w:rsidP="00407895">
      <w:pPr>
        <w:spacing w:line="480" w:lineRule="auto"/>
        <w:contextualSpacing/>
        <w:rPr>
          <w:rFonts w:ascii="Times New Roman" w:hAnsi="Times New Roman" w:cs="Times New Roman"/>
          <w:sz w:val="24"/>
          <w:szCs w:val="24"/>
          <w:shd w:val="clear" w:color="auto" w:fill="FFFFFF"/>
        </w:rPr>
      </w:pPr>
      <w:r w:rsidRPr="00F33937">
        <w:rPr>
          <w:rFonts w:ascii="Times New Roman" w:hAnsi="Times New Roman" w:cs="Times New Roman"/>
          <w:sz w:val="24"/>
          <w:szCs w:val="24"/>
          <w:shd w:val="clear" w:color="auto" w:fill="FFFFFF"/>
        </w:rPr>
        <w:lastRenderedPageBreak/>
        <w:t xml:space="preserve">2 – VIOLATIONS:  THE </w:t>
      </w:r>
      <w:r w:rsidR="00EF1384" w:rsidRPr="00F33937">
        <w:rPr>
          <w:rFonts w:ascii="Times New Roman" w:hAnsi="Times New Roman" w:cs="Times New Roman"/>
          <w:sz w:val="24"/>
          <w:szCs w:val="24"/>
          <w:shd w:val="clear" w:color="auto" w:fill="FFFFFF"/>
        </w:rPr>
        <w:t>AMERICAN CONVENTION ON HUMAN RIGHTS</w:t>
      </w:r>
    </w:p>
    <w:p w14:paraId="6A0D4CFC" w14:textId="4C06024A" w:rsidR="00EF1384" w:rsidRDefault="00BB7934" w:rsidP="00407895">
      <w:pPr>
        <w:spacing w:line="480" w:lineRule="auto"/>
        <w:contextualSpacing/>
        <w:rPr>
          <w:rFonts w:ascii="Times New Roman" w:hAnsi="Times New Roman" w:cs="Times New Roman"/>
          <w:sz w:val="24"/>
          <w:szCs w:val="24"/>
          <w:shd w:val="clear" w:color="auto" w:fill="FFFFFF"/>
        </w:rPr>
      </w:pPr>
      <w:r w:rsidRPr="00F33937">
        <w:rPr>
          <w:rFonts w:ascii="Times New Roman" w:hAnsi="Times New Roman" w:cs="Times New Roman"/>
          <w:sz w:val="24"/>
          <w:szCs w:val="24"/>
          <w:shd w:val="clear" w:color="auto" w:fill="FFFFFF"/>
        </w:rPr>
        <w:tab/>
      </w:r>
      <w:r w:rsidR="00CF1E96" w:rsidRPr="00F33937">
        <w:rPr>
          <w:rFonts w:ascii="Times New Roman" w:hAnsi="Times New Roman" w:cs="Times New Roman"/>
          <w:sz w:val="24"/>
          <w:szCs w:val="24"/>
          <w:shd w:val="clear" w:color="auto" w:fill="FFFFFF"/>
        </w:rPr>
        <w:t>Conforming to the Inter-American C</w:t>
      </w:r>
      <w:r w:rsidR="00720B28" w:rsidRPr="00F33937">
        <w:rPr>
          <w:rFonts w:ascii="Times New Roman" w:hAnsi="Times New Roman" w:cs="Times New Roman"/>
          <w:sz w:val="24"/>
          <w:szCs w:val="24"/>
          <w:shd w:val="clear" w:color="auto" w:fill="FFFFFF"/>
        </w:rPr>
        <w:t>ommission’s findings for the Republic of Charechia,</w:t>
      </w:r>
      <w:r w:rsidR="00426F72" w:rsidRPr="00F33937">
        <w:rPr>
          <w:rStyle w:val="FootnoteReference"/>
          <w:rFonts w:ascii="Times New Roman" w:hAnsi="Times New Roman" w:cs="Times New Roman"/>
          <w:sz w:val="24"/>
          <w:szCs w:val="24"/>
          <w:shd w:val="clear" w:color="auto" w:fill="FFFFFF"/>
        </w:rPr>
        <w:footnoteReference w:id="41"/>
      </w:r>
      <w:r w:rsidR="00720B28" w:rsidRPr="00F33937">
        <w:rPr>
          <w:rFonts w:ascii="Times New Roman" w:hAnsi="Times New Roman" w:cs="Times New Roman"/>
          <w:sz w:val="24"/>
          <w:szCs w:val="24"/>
          <w:shd w:val="clear" w:color="auto" w:fill="FFFFFF"/>
        </w:rPr>
        <w:t xml:space="preserve"> </w:t>
      </w:r>
      <w:r w:rsidR="00CF1E96" w:rsidRPr="00F33937">
        <w:rPr>
          <w:rFonts w:ascii="Times New Roman" w:hAnsi="Times New Roman" w:cs="Times New Roman"/>
          <w:sz w:val="24"/>
          <w:szCs w:val="24"/>
          <w:shd w:val="clear" w:color="auto" w:fill="FFFFFF"/>
        </w:rPr>
        <w:t xml:space="preserve">Petitioners </w:t>
      </w:r>
      <w:r w:rsidR="005F16FF" w:rsidRPr="00F33937">
        <w:rPr>
          <w:rFonts w:ascii="Times New Roman" w:hAnsi="Times New Roman" w:cs="Times New Roman"/>
          <w:sz w:val="24"/>
          <w:szCs w:val="24"/>
          <w:shd w:val="clear" w:color="auto" w:fill="FFFFFF"/>
        </w:rPr>
        <w:t>assert violations of American Convention on Human Rights Articles 5, 7</w:t>
      </w:r>
      <w:r w:rsidR="00720B28" w:rsidRPr="00F33937">
        <w:rPr>
          <w:rFonts w:ascii="Times New Roman" w:hAnsi="Times New Roman" w:cs="Times New Roman"/>
          <w:sz w:val="24"/>
          <w:szCs w:val="24"/>
          <w:shd w:val="clear" w:color="auto" w:fill="FFFFFF"/>
        </w:rPr>
        <w:t xml:space="preserve">, </w:t>
      </w:r>
      <w:r w:rsidR="005F16FF" w:rsidRPr="00F33937">
        <w:rPr>
          <w:rFonts w:ascii="Times New Roman" w:hAnsi="Times New Roman" w:cs="Times New Roman"/>
          <w:sz w:val="24"/>
          <w:szCs w:val="24"/>
          <w:shd w:val="clear" w:color="auto" w:fill="FFFFFF"/>
        </w:rPr>
        <w:t xml:space="preserve">8, 11, 13, 16, 22, and </w:t>
      </w:r>
      <w:r w:rsidR="000F7C96" w:rsidRPr="00F33937">
        <w:rPr>
          <w:rFonts w:ascii="Times New Roman" w:hAnsi="Times New Roman" w:cs="Times New Roman"/>
          <w:sz w:val="24"/>
          <w:szCs w:val="24"/>
          <w:shd w:val="clear" w:color="auto" w:fill="FFFFFF"/>
        </w:rPr>
        <w:t xml:space="preserve">23, and consequently request </w:t>
      </w:r>
      <w:r w:rsidR="00E163E7" w:rsidRPr="00F33937">
        <w:rPr>
          <w:rFonts w:ascii="Times New Roman" w:hAnsi="Times New Roman" w:cs="Times New Roman"/>
          <w:sz w:val="24"/>
          <w:szCs w:val="24"/>
          <w:shd w:val="clear" w:color="auto" w:fill="FFFFFF"/>
        </w:rPr>
        <w:t xml:space="preserve">humbly </w:t>
      </w:r>
      <w:r w:rsidR="007939D4" w:rsidRPr="00F33937">
        <w:rPr>
          <w:rFonts w:ascii="Times New Roman" w:hAnsi="Times New Roman" w:cs="Times New Roman"/>
          <w:sz w:val="24"/>
          <w:szCs w:val="24"/>
          <w:shd w:val="clear" w:color="auto" w:fill="FFFFFF"/>
        </w:rPr>
        <w:t xml:space="preserve">that </w:t>
      </w:r>
      <w:r w:rsidR="00E163E7" w:rsidRPr="00F33937">
        <w:rPr>
          <w:rFonts w:ascii="Times New Roman" w:hAnsi="Times New Roman" w:cs="Times New Roman"/>
          <w:sz w:val="24"/>
          <w:szCs w:val="24"/>
          <w:shd w:val="clear" w:color="auto" w:fill="FFFFFF"/>
        </w:rPr>
        <w:t>the Court order</w:t>
      </w:r>
      <w:r w:rsidR="00F6634C" w:rsidRPr="00F33937">
        <w:rPr>
          <w:rFonts w:ascii="Times New Roman" w:hAnsi="Times New Roman" w:cs="Times New Roman"/>
          <w:sz w:val="24"/>
          <w:szCs w:val="24"/>
          <w:shd w:val="clear" w:color="auto" w:fill="FFFFFF"/>
        </w:rPr>
        <w:t xml:space="preserve"> </w:t>
      </w:r>
      <w:r w:rsidR="00C97DB4" w:rsidRPr="00F33937">
        <w:rPr>
          <w:rFonts w:ascii="Times New Roman" w:hAnsi="Times New Roman" w:cs="Times New Roman"/>
          <w:sz w:val="24"/>
          <w:szCs w:val="24"/>
          <w:shd w:val="clear" w:color="auto" w:fill="FFFFFF"/>
        </w:rPr>
        <w:t xml:space="preserve">the State </w:t>
      </w:r>
      <w:r w:rsidR="007939D4" w:rsidRPr="00F33937">
        <w:rPr>
          <w:rFonts w:ascii="Times New Roman" w:hAnsi="Times New Roman" w:cs="Times New Roman"/>
          <w:sz w:val="24"/>
          <w:szCs w:val="24"/>
          <w:shd w:val="clear" w:color="auto" w:fill="FFFFFF"/>
        </w:rPr>
        <w:t xml:space="preserve">to </w:t>
      </w:r>
      <w:r w:rsidR="00C97DB4" w:rsidRPr="00F33937">
        <w:rPr>
          <w:rFonts w:ascii="Times New Roman" w:hAnsi="Times New Roman" w:cs="Times New Roman"/>
          <w:sz w:val="24"/>
          <w:szCs w:val="24"/>
          <w:shd w:val="clear" w:color="auto" w:fill="FFFFFF"/>
        </w:rPr>
        <w:t xml:space="preserve">perform </w:t>
      </w:r>
      <w:r w:rsidR="008B0DFD">
        <w:rPr>
          <w:rFonts w:ascii="Times New Roman" w:hAnsi="Times New Roman" w:cs="Times New Roman"/>
          <w:i/>
          <w:sz w:val="24"/>
          <w:szCs w:val="24"/>
          <w:shd w:val="clear" w:color="auto" w:fill="FFFFFF"/>
        </w:rPr>
        <w:t>restitutio</w:t>
      </w:r>
      <w:r w:rsidR="00F6634C" w:rsidRPr="00F33937">
        <w:rPr>
          <w:rFonts w:ascii="Times New Roman" w:hAnsi="Times New Roman" w:cs="Times New Roman"/>
          <w:i/>
          <w:sz w:val="24"/>
          <w:szCs w:val="24"/>
          <w:shd w:val="clear" w:color="auto" w:fill="FFFFFF"/>
        </w:rPr>
        <w:t xml:space="preserve"> in integrum</w:t>
      </w:r>
      <w:r w:rsidR="00F6634C" w:rsidRPr="00F33937">
        <w:rPr>
          <w:rFonts w:ascii="Times New Roman" w:hAnsi="Times New Roman" w:cs="Times New Roman"/>
          <w:sz w:val="24"/>
          <w:szCs w:val="24"/>
          <w:shd w:val="clear" w:color="auto" w:fill="FFFFFF"/>
        </w:rPr>
        <w:t>,</w:t>
      </w:r>
      <w:r w:rsidR="003C10AF">
        <w:rPr>
          <w:rFonts w:ascii="Times New Roman" w:hAnsi="Times New Roman" w:cs="Times New Roman"/>
          <w:sz w:val="24"/>
          <w:szCs w:val="24"/>
          <w:shd w:val="clear" w:color="auto" w:fill="FFFFFF"/>
        </w:rPr>
        <w:t xml:space="preserve"> in line with this</w:t>
      </w:r>
      <w:r w:rsidR="00E71607" w:rsidRPr="00F33937">
        <w:rPr>
          <w:rFonts w:ascii="Times New Roman" w:hAnsi="Times New Roman" w:cs="Times New Roman"/>
          <w:sz w:val="24"/>
          <w:szCs w:val="24"/>
          <w:shd w:val="clear" w:color="auto" w:fill="FFFFFF"/>
        </w:rPr>
        <w:t xml:space="preserve"> Convention and other relevant </w:t>
      </w:r>
      <w:r w:rsidR="00255696" w:rsidRPr="00F33937">
        <w:rPr>
          <w:rFonts w:ascii="Times New Roman" w:hAnsi="Times New Roman" w:cs="Times New Roman"/>
          <w:sz w:val="24"/>
          <w:szCs w:val="24"/>
          <w:shd w:val="clear" w:color="auto" w:fill="FFFFFF"/>
        </w:rPr>
        <w:t xml:space="preserve">human rights </w:t>
      </w:r>
      <w:r w:rsidR="00E71607" w:rsidRPr="00F33937">
        <w:rPr>
          <w:rFonts w:ascii="Times New Roman" w:hAnsi="Times New Roman" w:cs="Times New Roman"/>
          <w:sz w:val="24"/>
          <w:szCs w:val="24"/>
          <w:shd w:val="clear" w:color="auto" w:fill="FFFFFF"/>
        </w:rPr>
        <w:t>instruments</w:t>
      </w:r>
      <w:r w:rsidR="00F6634C" w:rsidRPr="00F33937">
        <w:rPr>
          <w:rFonts w:ascii="Times New Roman" w:hAnsi="Times New Roman" w:cs="Times New Roman"/>
          <w:sz w:val="24"/>
          <w:szCs w:val="24"/>
          <w:shd w:val="clear" w:color="auto" w:fill="FFFFFF"/>
        </w:rPr>
        <w:t>.</w:t>
      </w:r>
      <w:r w:rsidR="00C97DB4" w:rsidRPr="00F33937">
        <w:rPr>
          <w:rStyle w:val="FootnoteReference"/>
          <w:rFonts w:ascii="Times New Roman" w:hAnsi="Times New Roman" w:cs="Times New Roman"/>
          <w:sz w:val="24"/>
          <w:szCs w:val="24"/>
          <w:shd w:val="clear" w:color="auto" w:fill="FFFFFF"/>
        </w:rPr>
        <w:footnoteReference w:id="42"/>
      </w:r>
    </w:p>
    <w:p w14:paraId="624C5905" w14:textId="77777777" w:rsidR="003C10AF" w:rsidRPr="00F33937" w:rsidRDefault="003C10AF" w:rsidP="00407895">
      <w:pPr>
        <w:spacing w:line="480" w:lineRule="auto"/>
        <w:contextualSpacing/>
        <w:rPr>
          <w:rFonts w:ascii="Times New Roman" w:hAnsi="Times New Roman" w:cs="Times New Roman"/>
          <w:sz w:val="24"/>
          <w:szCs w:val="24"/>
          <w:shd w:val="clear" w:color="auto" w:fill="FFFFFF"/>
        </w:rPr>
      </w:pPr>
    </w:p>
    <w:p w14:paraId="2CC6BB85" w14:textId="3A8364A7" w:rsidR="005D3E25" w:rsidRPr="00F33937" w:rsidRDefault="00314E61"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3</w:t>
      </w:r>
      <w:r w:rsidR="00212DC0" w:rsidRPr="00F33937">
        <w:rPr>
          <w:rFonts w:ascii="Times New Roman" w:hAnsi="Times New Roman" w:cs="Times New Roman"/>
          <w:sz w:val="24"/>
          <w:szCs w:val="24"/>
        </w:rPr>
        <w:t xml:space="preserve"> – ARGUMENTS ON THE MERITS</w:t>
      </w:r>
    </w:p>
    <w:p w14:paraId="29810C62" w14:textId="33D4C4DF" w:rsidR="006E4623" w:rsidRPr="00F33937" w:rsidRDefault="00AF6C89" w:rsidP="00407895">
      <w:pPr>
        <w:spacing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3</w:t>
      </w:r>
      <w:r w:rsidR="000834B0" w:rsidRPr="00F33937">
        <w:rPr>
          <w:rFonts w:ascii="Times New Roman" w:hAnsi="Times New Roman" w:cs="Times New Roman"/>
          <w:b/>
          <w:i/>
          <w:sz w:val="24"/>
          <w:szCs w:val="24"/>
        </w:rPr>
        <w:t>.1 – RIGHT TO HUMANE TREATMENT</w:t>
      </w:r>
    </w:p>
    <w:p w14:paraId="44C5D58E" w14:textId="6AED1C61" w:rsidR="009A5482" w:rsidRPr="00F33937" w:rsidRDefault="00A313EF" w:rsidP="00407895">
      <w:pPr>
        <w:spacing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 xml:space="preserve">The </w:t>
      </w:r>
      <w:r w:rsidR="005D3E25" w:rsidRPr="00F33937">
        <w:rPr>
          <w:rFonts w:ascii="Times New Roman" w:hAnsi="Times New Roman" w:cs="Times New Roman"/>
          <w:b/>
          <w:i/>
          <w:sz w:val="24"/>
          <w:szCs w:val="24"/>
        </w:rPr>
        <w:t>State Exacted Kin Punishment on Massacre Survivors</w:t>
      </w:r>
    </w:p>
    <w:p w14:paraId="0B8CDFA8" w14:textId="38E99557" w:rsidR="00782BB5" w:rsidRPr="00F33937" w:rsidRDefault="00B958DF"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2048EC" w:rsidRPr="00F33937">
        <w:rPr>
          <w:rFonts w:ascii="Times New Roman" w:hAnsi="Times New Roman" w:cs="Times New Roman"/>
          <w:sz w:val="24"/>
          <w:szCs w:val="24"/>
        </w:rPr>
        <w:t>Article 5 of the American Convention on Human Rights states</w:t>
      </w:r>
      <w:r w:rsidR="000834B0" w:rsidRPr="00F33937">
        <w:rPr>
          <w:rFonts w:ascii="Times New Roman" w:hAnsi="Times New Roman" w:cs="Times New Roman"/>
          <w:sz w:val="24"/>
          <w:szCs w:val="24"/>
        </w:rPr>
        <w:t>, “Punishment shall not be extended to any person other tha</w:t>
      </w:r>
      <w:r w:rsidR="00306782" w:rsidRPr="00F33937">
        <w:rPr>
          <w:rFonts w:ascii="Times New Roman" w:hAnsi="Times New Roman" w:cs="Times New Roman"/>
          <w:sz w:val="24"/>
          <w:szCs w:val="24"/>
        </w:rPr>
        <w:t>n</w:t>
      </w:r>
      <w:r w:rsidR="000834B0" w:rsidRPr="00F33937">
        <w:rPr>
          <w:rFonts w:ascii="Times New Roman" w:hAnsi="Times New Roman" w:cs="Times New Roman"/>
          <w:sz w:val="24"/>
          <w:szCs w:val="24"/>
        </w:rPr>
        <w:t xml:space="preserve"> the criminal.”</w:t>
      </w:r>
      <w:r w:rsidR="000834B0" w:rsidRPr="00F33937">
        <w:rPr>
          <w:rStyle w:val="FootnoteReference"/>
          <w:rFonts w:ascii="Times New Roman" w:hAnsi="Times New Roman" w:cs="Times New Roman"/>
          <w:sz w:val="24"/>
          <w:szCs w:val="24"/>
        </w:rPr>
        <w:footnoteReference w:id="43"/>
      </w:r>
      <w:r w:rsidR="00886A54" w:rsidRPr="00F33937">
        <w:rPr>
          <w:rFonts w:ascii="Times New Roman" w:hAnsi="Times New Roman" w:cs="Times New Roman"/>
          <w:sz w:val="24"/>
          <w:szCs w:val="24"/>
        </w:rPr>
        <w:t xml:space="preserve"> </w:t>
      </w:r>
      <w:r w:rsidR="003769D7" w:rsidRPr="00F33937">
        <w:rPr>
          <w:rFonts w:ascii="Times New Roman" w:hAnsi="Times New Roman" w:cs="Times New Roman"/>
          <w:sz w:val="24"/>
          <w:szCs w:val="24"/>
        </w:rPr>
        <w:t xml:space="preserve"> </w:t>
      </w:r>
    </w:p>
    <w:p w14:paraId="7412FBAD" w14:textId="2B194FFD" w:rsidR="00FA678F" w:rsidRPr="00F33937" w:rsidRDefault="00782BB5" w:rsidP="00FA678F">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3C10AF">
        <w:rPr>
          <w:rFonts w:ascii="Times New Roman" w:hAnsi="Times New Roman" w:cs="Times New Roman"/>
          <w:sz w:val="24"/>
          <w:szCs w:val="24"/>
        </w:rPr>
        <w:t>R</w:t>
      </w:r>
      <w:r w:rsidR="00E05793" w:rsidRPr="00F33937">
        <w:rPr>
          <w:rFonts w:ascii="Times New Roman" w:hAnsi="Times New Roman" w:cs="Times New Roman"/>
          <w:sz w:val="24"/>
          <w:szCs w:val="24"/>
        </w:rPr>
        <w:t xml:space="preserve">egardless of </w:t>
      </w:r>
      <w:r w:rsidR="003C10AF">
        <w:rPr>
          <w:rFonts w:ascii="Times New Roman" w:hAnsi="Times New Roman" w:cs="Times New Roman"/>
          <w:sz w:val="24"/>
          <w:szCs w:val="24"/>
        </w:rPr>
        <w:t xml:space="preserve">a </w:t>
      </w:r>
      <w:r w:rsidR="00F256B1" w:rsidRPr="00F33937">
        <w:rPr>
          <w:rFonts w:ascii="Times New Roman" w:hAnsi="Times New Roman" w:cs="Times New Roman"/>
          <w:sz w:val="24"/>
          <w:szCs w:val="24"/>
        </w:rPr>
        <w:t xml:space="preserve">decedent’s </w:t>
      </w:r>
      <w:r w:rsidR="00E05793" w:rsidRPr="00F33937">
        <w:rPr>
          <w:rFonts w:ascii="Times New Roman" w:hAnsi="Times New Roman" w:cs="Times New Roman"/>
          <w:sz w:val="24"/>
          <w:szCs w:val="24"/>
        </w:rPr>
        <w:t xml:space="preserve">political affiliation or prior convictions, </w:t>
      </w:r>
      <w:r w:rsidR="003C10AF">
        <w:rPr>
          <w:rFonts w:ascii="Times New Roman" w:hAnsi="Times New Roman" w:cs="Times New Roman"/>
          <w:sz w:val="24"/>
          <w:szCs w:val="24"/>
        </w:rPr>
        <w:t>i</w:t>
      </w:r>
      <w:r w:rsidR="003C10AF" w:rsidRPr="00F33937">
        <w:rPr>
          <w:rFonts w:ascii="Times New Roman" w:hAnsi="Times New Roman" w:cs="Times New Roman"/>
          <w:sz w:val="24"/>
          <w:szCs w:val="24"/>
        </w:rPr>
        <w:t xml:space="preserve">nternational norms have embraced the identification of victims as including decedent’s next-of-kin, </w:t>
      </w:r>
      <w:r w:rsidR="00BD3CED" w:rsidRPr="00F33937">
        <w:rPr>
          <w:rFonts w:ascii="Times New Roman" w:hAnsi="Times New Roman" w:cs="Times New Roman"/>
          <w:sz w:val="24"/>
          <w:szCs w:val="24"/>
        </w:rPr>
        <w:t xml:space="preserve">as this Court ruled in </w:t>
      </w:r>
      <w:r w:rsidR="00BD3CED" w:rsidRPr="00F33937">
        <w:rPr>
          <w:rFonts w:ascii="Times New Roman" w:hAnsi="Times New Roman" w:cs="Times New Roman"/>
          <w:i/>
          <w:sz w:val="24"/>
          <w:szCs w:val="24"/>
        </w:rPr>
        <w:t>B</w:t>
      </w:r>
      <w:r w:rsidR="00F256B1" w:rsidRPr="00F33937">
        <w:rPr>
          <w:rFonts w:ascii="Times New Roman" w:hAnsi="Times New Roman" w:cs="Times New Roman"/>
          <w:i/>
          <w:sz w:val="24"/>
          <w:szCs w:val="24"/>
        </w:rPr>
        <w:t>á</w:t>
      </w:r>
      <w:r w:rsidR="00BD3CED" w:rsidRPr="00F33937">
        <w:rPr>
          <w:rFonts w:ascii="Times New Roman" w:hAnsi="Times New Roman" w:cs="Times New Roman"/>
          <w:i/>
          <w:sz w:val="24"/>
          <w:szCs w:val="24"/>
        </w:rPr>
        <w:t>maca Velasquez v. Guatemala</w:t>
      </w:r>
      <w:r w:rsidR="00BD3CED" w:rsidRPr="00F33937">
        <w:rPr>
          <w:rFonts w:ascii="Times New Roman" w:hAnsi="Times New Roman" w:cs="Times New Roman"/>
          <w:sz w:val="24"/>
          <w:szCs w:val="24"/>
        </w:rPr>
        <w:t xml:space="preserve"> (2000)</w:t>
      </w:r>
      <w:r w:rsidR="000460E4" w:rsidRPr="00F33937">
        <w:rPr>
          <w:rFonts w:ascii="Times New Roman" w:hAnsi="Times New Roman" w:cs="Times New Roman"/>
          <w:sz w:val="24"/>
          <w:szCs w:val="24"/>
        </w:rPr>
        <w:t>.</w:t>
      </w:r>
      <w:r w:rsidR="000460E4" w:rsidRPr="00F33937">
        <w:rPr>
          <w:rStyle w:val="FootnoteReference"/>
          <w:rFonts w:ascii="Times New Roman" w:hAnsi="Times New Roman" w:cs="Times New Roman"/>
          <w:sz w:val="24"/>
          <w:szCs w:val="24"/>
        </w:rPr>
        <w:footnoteReference w:id="44"/>
      </w:r>
      <w:r w:rsidR="000460E4" w:rsidRPr="00F33937">
        <w:rPr>
          <w:rFonts w:ascii="Times New Roman" w:hAnsi="Times New Roman" w:cs="Times New Roman"/>
          <w:sz w:val="24"/>
          <w:szCs w:val="24"/>
        </w:rPr>
        <w:t xml:space="preserve">  </w:t>
      </w:r>
      <w:r w:rsidR="00BC7AF9" w:rsidRPr="00F33937">
        <w:rPr>
          <w:rFonts w:ascii="Times New Roman" w:hAnsi="Times New Roman" w:cs="Times New Roman"/>
          <w:sz w:val="24"/>
          <w:szCs w:val="24"/>
        </w:rPr>
        <w:t>W</w:t>
      </w:r>
      <w:r w:rsidR="00BD3CED" w:rsidRPr="00F33937">
        <w:rPr>
          <w:rFonts w:ascii="Times New Roman" w:hAnsi="Times New Roman" w:cs="Times New Roman"/>
          <w:sz w:val="24"/>
          <w:szCs w:val="24"/>
        </w:rPr>
        <w:t xml:space="preserve">ith regard </w:t>
      </w:r>
      <w:r w:rsidR="00BC7AF9" w:rsidRPr="00F33937">
        <w:rPr>
          <w:rFonts w:ascii="Times New Roman" w:hAnsi="Times New Roman" w:cs="Times New Roman"/>
          <w:sz w:val="24"/>
          <w:szCs w:val="24"/>
        </w:rPr>
        <w:t xml:space="preserve">to the </w:t>
      </w:r>
      <w:r w:rsidR="00F256B1" w:rsidRPr="00F33937">
        <w:rPr>
          <w:rFonts w:ascii="Times New Roman" w:hAnsi="Times New Roman" w:cs="Times New Roman"/>
          <w:sz w:val="24"/>
          <w:szCs w:val="24"/>
        </w:rPr>
        <w:t>S</w:t>
      </w:r>
      <w:r w:rsidR="00BD3CED" w:rsidRPr="00F33937">
        <w:rPr>
          <w:rFonts w:ascii="Times New Roman" w:hAnsi="Times New Roman" w:cs="Times New Roman"/>
          <w:sz w:val="24"/>
          <w:szCs w:val="24"/>
        </w:rPr>
        <w:t>tate’s obligatio</w:t>
      </w:r>
      <w:r w:rsidR="003175CB" w:rsidRPr="00F33937">
        <w:rPr>
          <w:rFonts w:ascii="Times New Roman" w:hAnsi="Times New Roman" w:cs="Times New Roman"/>
          <w:sz w:val="24"/>
          <w:szCs w:val="24"/>
        </w:rPr>
        <w:t>n toward injured parties</w:t>
      </w:r>
      <w:r w:rsidR="00BC7AF9" w:rsidRPr="00F33937">
        <w:rPr>
          <w:rFonts w:ascii="Times New Roman" w:hAnsi="Times New Roman" w:cs="Times New Roman"/>
          <w:sz w:val="24"/>
          <w:szCs w:val="24"/>
        </w:rPr>
        <w:t>,</w:t>
      </w:r>
      <w:r w:rsidR="00C609C1" w:rsidRPr="00F33937">
        <w:rPr>
          <w:rFonts w:ascii="Times New Roman" w:hAnsi="Times New Roman" w:cs="Times New Roman"/>
          <w:sz w:val="24"/>
          <w:szCs w:val="24"/>
        </w:rPr>
        <w:t xml:space="preserve"> </w:t>
      </w:r>
      <w:r w:rsidR="00C609C1" w:rsidRPr="00F33937">
        <w:rPr>
          <w:rFonts w:ascii="Times New Roman" w:hAnsi="Times New Roman" w:cs="Times New Roman"/>
          <w:i/>
          <w:sz w:val="24"/>
          <w:szCs w:val="24"/>
        </w:rPr>
        <w:t>B</w:t>
      </w:r>
      <w:r w:rsidR="00F256B1" w:rsidRPr="00F33937">
        <w:rPr>
          <w:rFonts w:ascii="Times New Roman" w:hAnsi="Times New Roman" w:cs="Times New Roman"/>
          <w:i/>
          <w:sz w:val="24"/>
          <w:szCs w:val="24"/>
        </w:rPr>
        <w:t>á</w:t>
      </w:r>
      <w:r w:rsidR="00C609C1" w:rsidRPr="00F33937">
        <w:rPr>
          <w:rFonts w:ascii="Times New Roman" w:hAnsi="Times New Roman" w:cs="Times New Roman"/>
          <w:i/>
          <w:sz w:val="24"/>
          <w:szCs w:val="24"/>
        </w:rPr>
        <w:t>maca</w:t>
      </w:r>
      <w:r w:rsidR="00C609C1" w:rsidRPr="00F33937">
        <w:rPr>
          <w:rFonts w:ascii="Times New Roman" w:hAnsi="Times New Roman" w:cs="Times New Roman"/>
          <w:sz w:val="24"/>
          <w:szCs w:val="24"/>
        </w:rPr>
        <w:t xml:space="preserve"> granted </w:t>
      </w:r>
      <w:r w:rsidR="003175CB" w:rsidRPr="00F33937">
        <w:rPr>
          <w:rFonts w:ascii="Times New Roman" w:hAnsi="Times New Roman" w:cs="Times New Roman"/>
          <w:sz w:val="24"/>
          <w:szCs w:val="24"/>
        </w:rPr>
        <w:t xml:space="preserve">restitution </w:t>
      </w:r>
      <w:r w:rsidR="00E05793" w:rsidRPr="00F33937">
        <w:rPr>
          <w:rFonts w:ascii="Times New Roman" w:hAnsi="Times New Roman" w:cs="Times New Roman"/>
          <w:sz w:val="24"/>
          <w:szCs w:val="24"/>
        </w:rPr>
        <w:t>to next-of-kin</w:t>
      </w:r>
      <w:r w:rsidR="00356341" w:rsidRPr="00F33937">
        <w:rPr>
          <w:rFonts w:ascii="Times New Roman" w:hAnsi="Times New Roman" w:cs="Times New Roman"/>
          <w:sz w:val="24"/>
          <w:szCs w:val="24"/>
        </w:rPr>
        <w:t>,</w:t>
      </w:r>
      <w:r w:rsidR="00E05793" w:rsidRPr="00F33937">
        <w:rPr>
          <w:rFonts w:ascii="Times New Roman" w:hAnsi="Times New Roman" w:cs="Times New Roman"/>
          <w:sz w:val="24"/>
          <w:szCs w:val="24"/>
        </w:rPr>
        <w:t xml:space="preserve"> </w:t>
      </w:r>
      <w:r w:rsidR="003175CB" w:rsidRPr="00F33937">
        <w:rPr>
          <w:rFonts w:ascii="Times New Roman" w:hAnsi="Times New Roman" w:cs="Times New Roman"/>
          <w:sz w:val="24"/>
          <w:szCs w:val="24"/>
        </w:rPr>
        <w:t>via</w:t>
      </w:r>
      <w:r w:rsidR="00BD3CED" w:rsidRPr="00F33937">
        <w:rPr>
          <w:rFonts w:ascii="Times New Roman" w:hAnsi="Times New Roman" w:cs="Times New Roman"/>
          <w:sz w:val="24"/>
          <w:szCs w:val="24"/>
        </w:rPr>
        <w:t xml:space="preserve"> damages both pecuniary and non-pecuniary.</w:t>
      </w:r>
      <w:r w:rsidR="00A82066" w:rsidRPr="00F33937">
        <w:rPr>
          <w:rStyle w:val="FootnoteReference"/>
          <w:rFonts w:ascii="Times New Roman" w:hAnsi="Times New Roman" w:cs="Times New Roman"/>
          <w:sz w:val="24"/>
          <w:szCs w:val="24"/>
        </w:rPr>
        <w:footnoteReference w:id="45"/>
      </w:r>
      <w:r w:rsidR="00BD3CED" w:rsidRPr="00F33937">
        <w:rPr>
          <w:rFonts w:ascii="Times New Roman" w:hAnsi="Times New Roman" w:cs="Times New Roman"/>
          <w:sz w:val="24"/>
          <w:szCs w:val="24"/>
        </w:rPr>
        <w:t xml:space="preserve"> </w:t>
      </w:r>
      <w:r w:rsidR="00B2551F" w:rsidRPr="00F33937">
        <w:rPr>
          <w:rFonts w:ascii="Times New Roman" w:hAnsi="Times New Roman" w:cs="Times New Roman"/>
          <w:sz w:val="24"/>
          <w:szCs w:val="24"/>
        </w:rPr>
        <w:t xml:space="preserve"> </w:t>
      </w:r>
      <w:r w:rsidR="00FA678F" w:rsidRPr="00F33937">
        <w:rPr>
          <w:rFonts w:ascii="Times New Roman" w:hAnsi="Times New Roman" w:cs="Times New Roman"/>
          <w:sz w:val="24"/>
          <w:szCs w:val="24"/>
        </w:rPr>
        <w:t xml:space="preserve">Conviction status of a state-injured relative does not cancel restitution for his/her next-of-kin.  </w:t>
      </w:r>
    </w:p>
    <w:p w14:paraId="73390B8E" w14:textId="61429040" w:rsidR="00A56AF6" w:rsidRPr="00F33937" w:rsidRDefault="00FA678F" w:rsidP="00407895">
      <w:pPr>
        <w:spacing w:line="480" w:lineRule="auto"/>
        <w:contextualSpacing/>
        <w:rPr>
          <w:rFonts w:ascii="Times New Roman" w:hAnsi="Times New Roman" w:cs="Times New Roman"/>
          <w:b/>
          <w:i/>
          <w:sz w:val="24"/>
          <w:szCs w:val="24"/>
        </w:rPr>
      </w:pPr>
      <w:r w:rsidRPr="00F33937">
        <w:rPr>
          <w:rFonts w:ascii="Times New Roman" w:hAnsi="Times New Roman" w:cs="Times New Roman"/>
          <w:sz w:val="24"/>
          <w:szCs w:val="24"/>
        </w:rPr>
        <w:tab/>
      </w:r>
      <w:r w:rsidR="00826617" w:rsidRPr="00F33937">
        <w:rPr>
          <w:rFonts w:ascii="Times New Roman" w:hAnsi="Times New Roman" w:cs="Times New Roman"/>
          <w:sz w:val="24"/>
          <w:szCs w:val="24"/>
        </w:rPr>
        <w:t>Prior to</w:t>
      </w:r>
      <w:r w:rsidR="002A760C" w:rsidRPr="00F33937">
        <w:rPr>
          <w:rFonts w:ascii="Times New Roman" w:hAnsi="Times New Roman" w:cs="Times New Roman"/>
          <w:sz w:val="24"/>
          <w:szCs w:val="24"/>
        </w:rPr>
        <w:t xml:space="preserve"> the State</w:t>
      </w:r>
      <w:r w:rsidR="00826617" w:rsidRPr="00F33937">
        <w:rPr>
          <w:rFonts w:ascii="Times New Roman" w:hAnsi="Times New Roman" w:cs="Times New Roman"/>
          <w:sz w:val="24"/>
          <w:szCs w:val="24"/>
        </w:rPr>
        <w:t>’s bombing of Paraio</w:t>
      </w:r>
      <w:r w:rsidR="00826617" w:rsidRPr="00F33937">
        <w:rPr>
          <w:rStyle w:val="FootnoteReference"/>
          <w:rFonts w:ascii="Times New Roman" w:hAnsi="Times New Roman" w:cs="Times New Roman"/>
          <w:sz w:val="24"/>
          <w:szCs w:val="24"/>
        </w:rPr>
        <w:footnoteReference w:id="46"/>
      </w:r>
      <w:r w:rsidR="006E2217" w:rsidRPr="00F33937">
        <w:rPr>
          <w:rFonts w:ascii="Times New Roman" w:hAnsi="Times New Roman" w:cs="Times New Roman"/>
          <w:sz w:val="24"/>
          <w:szCs w:val="24"/>
        </w:rPr>
        <w:t xml:space="preserve"> </w:t>
      </w:r>
      <w:r w:rsidR="00ED10B0" w:rsidRPr="00F33937">
        <w:rPr>
          <w:rFonts w:ascii="Times New Roman" w:hAnsi="Times New Roman" w:cs="Times New Roman"/>
          <w:sz w:val="24"/>
          <w:szCs w:val="24"/>
        </w:rPr>
        <w:t xml:space="preserve">a Charechian </w:t>
      </w:r>
      <w:r w:rsidR="00300D40" w:rsidRPr="00F33937">
        <w:rPr>
          <w:rFonts w:ascii="Times New Roman" w:hAnsi="Times New Roman" w:cs="Times New Roman"/>
          <w:sz w:val="24"/>
          <w:szCs w:val="24"/>
        </w:rPr>
        <w:t xml:space="preserve">municipal court </w:t>
      </w:r>
      <w:r w:rsidR="00ED10B0" w:rsidRPr="00F33937">
        <w:rPr>
          <w:rFonts w:ascii="Times New Roman" w:hAnsi="Times New Roman" w:cs="Times New Roman"/>
          <w:sz w:val="24"/>
          <w:szCs w:val="24"/>
        </w:rPr>
        <w:t xml:space="preserve">found Paraio resident and Shield of the North sympathizer Manuel Poblano guilty of “organized sabotage” </w:t>
      </w:r>
      <w:r w:rsidR="00ED10B0" w:rsidRPr="00F33937">
        <w:rPr>
          <w:rFonts w:ascii="Times New Roman" w:hAnsi="Times New Roman" w:cs="Times New Roman"/>
          <w:sz w:val="24"/>
          <w:szCs w:val="24"/>
        </w:rPr>
        <w:lastRenderedPageBreak/>
        <w:t>involving a state munitions plant.</w:t>
      </w:r>
      <w:r w:rsidR="00ED10B0" w:rsidRPr="00F33937">
        <w:rPr>
          <w:rStyle w:val="FootnoteReference"/>
          <w:rFonts w:ascii="Times New Roman" w:hAnsi="Times New Roman" w:cs="Times New Roman"/>
          <w:sz w:val="24"/>
          <w:szCs w:val="24"/>
        </w:rPr>
        <w:footnoteReference w:id="47"/>
      </w:r>
      <w:r w:rsidR="00726C7B" w:rsidRPr="00F33937">
        <w:rPr>
          <w:rFonts w:ascii="Times New Roman" w:hAnsi="Times New Roman" w:cs="Times New Roman"/>
          <w:sz w:val="24"/>
          <w:szCs w:val="24"/>
        </w:rPr>
        <w:t xml:space="preserve">  C</w:t>
      </w:r>
      <w:r w:rsidR="006E2217" w:rsidRPr="00F33937">
        <w:rPr>
          <w:rFonts w:ascii="Times New Roman" w:hAnsi="Times New Roman" w:cs="Times New Roman"/>
          <w:sz w:val="24"/>
          <w:szCs w:val="24"/>
        </w:rPr>
        <w:t xml:space="preserve">onvict </w:t>
      </w:r>
      <w:r w:rsidR="00661554" w:rsidRPr="00F33937">
        <w:rPr>
          <w:rFonts w:ascii="Times New Roman" w:hAnsi="Times New Roman" w:cs="Times New Roman"/>
          <w:sz w:val="24"/>
          <w:szCs w:val="24"/>
        </w:rPr>
        <w:t>Poblano was</w:t>
      </w:r>
      <w:r w:rsidR="00726C7B" w:rsidRPr="00F33937">
        <w:rPr>
          <w:rFonts w:ascii="Times New Roman" w:hAnsi="Times New Roman" w:cs="Times New Roman"/>
          <w:sz w:val="24"/>
          <w:szCs w:val="24"/>
        </w:rPr>
        <w:t xml:space="preserve"> later killed in the Paraio air raid.</w:t>
      </w:r>
      <w:r w:rsidR="00726C7B" w:rsidRPr="00F33937">
        <w:rPr>
          <w:rStyle w:val="FootnoteReference"/>
          <w:rFonts w:ascii="Times New Roman" w:hAnsi="Times New Roman" w:cs="Times New Roman"/>
          <w:sz w:val="24"/>
          <w:szCs w:val="24"/>
        </w:rPr>
        <w:footnoteReference w:id="48"/>
      </w:r>
      <w:r w:rsidR="00726C7B" w:rsidRPr="00F33937">
        <w:rPr>
          <w:rFonts w:ascii="Times New Roman" w:hAnsi="Times New Roman" w:cs="Times New Roman"/>
          <w:sz w:val="24"/>
          <w:szCs w:val="24"/>
        </w:rPr>
        <w:t xml:space="preserve">  </w:t>
      </w:r>
      <w:r w:rsidR="00491262" w:rsidRPr="00F33937">
        <w:rPr>
          <w:rFonts w:ascii="Times New Roman" w:hAnsi="Times New Roman" w:cs="Times New Roman"/>
          <w:sz w:val="24"/>
          <w:szCs w:val="24"/>
        </w:rPr>
        <w:t>In the months following the village massacre,</w:t>
      </w:r>
      <w:r w:rsidR="006E2217" w:rsidRPr="00F33937">
        <w:rPr>
          <w:rFonts w:ascii="Times New Roman" w:hAnsi="Times New Roman" w:cs="Times New Roman"/>
          <w:sz w:val="24"/>
          <w:szCs w:val="24"/>
        </w:rPr>
        <w:t xml:space="preserve"> surviving members of his and other families</w:t>
      </w:r>
      <w:r w:rsidR="008374E8" w:rsidRPr="00F33937">
        <w:rPr>
          <w:rFonts w:ascii="Times New Roman" w:hAnsi="Times New Roman" w:cs="Times New Roman"/>
          <w:sz w:val="24"/>
          <w:szCs w:val="24"/>
        </w:rPr>
        <w:t xml:space="preserve"> </w:t>
      </w:r>
      <w:r w:rsidR="00A811B5">
        <w:rPr>
          <w:rFonts w:ascii="Times New Roman" w:hAnsi="Times New Roman" w:cs="Times New Roman"/>
          <w:sz w:val="24"/>
          <w:szCs w:val="24"/>
        </w:rPr>
        <w:t xml:space="preserve">have </w:t>
      </w:r>
      <w:r w:rsidR="008374E8" w:rsidRPr="00F33937">
        <w:rPr>
          <w:rFonts w:ascii="Times New Roman" w:hAnsi="Times New Roman" w:cs="Times New Roman"/>
          <w:sz w:val="24"/>
          <w:szCs w:val="24"/>
        </w:rPr>
        <w:t>attempted to procure restitution</w:t>
      </w:r>
      <w:r w:rsidR="00491262" w:rsidRPr="00F33937">
        <w:rPr>
          <w:rFonts w:ascii="Times New Roman" w:hAnsi="Times New Roman" w:cs="Times New Roman"/>
          <w:sz w:val="24"/>
          <w:szCs w:val="24"/>
        </w:rPr>
        <w:t xml:space="preserve"> for the loss of their relatives</w:t>
      </w:r>
      <w:r w:rsidR="00356341" w:rsidRPr="00F33937">
        <w:rPr>
          <w:rFonts w:ascii="Times New Roman" w:hAnsi="Times New Roman" w:cs="Times New Roman"/>
          <w:sz w:val="24"/>
          <w:szCs w:val="24"/>
        </w:rPr>
        <w:t>.</w:t>
      </w:r>
      <w:r w:rsidR="00714725" w:rsidRPr="00F33937">
        <w:rPr>
          <w:rStyle w:val="FootnoteReference"/>
          <w:rFonts w:ascii="Times New Roman" w:hAnsi="Times New Roman" w:cs="Times New Roman"/>
          <w:sz w:val="24"/>
          <w:szCs w:val="24"/>
        </w:rPr>
        <w:footnoteReference w:id="49"/>
      </w:r>
      <w:r w:rsidR="00162726" w:rsidRPr="00F33937">
        <w:rPr>
          <w:rFonts w:ascii="Times New Roman" w:hAnsi="Times New Roman" w:cs="Times New Roman"/>
          <w:sz w:val="24"/>
          <w:szCs w:val="24"/>
        </w:rPr>
        <w:t xml:space="preserve"> </w:t>
      </w:r>
      <w:r w:rsidR="00491262" w:rsidRPr="00F33937">
        <w:rPr>
          <w:rFonts w:ascii="Times New Roman" w:hAnsi="Times New Roman" w:cs="Times New Roman"/>
          <w:sz w:val="24"/>
          <w:szCs w:val="24"/>
        </w:rPr>
        <w:t xml:space="preserve"> I</w:t>
      </w:r>
      <w:r w:rsidR="003F27D9" w:rsidRPr="00F33937">
        <w:rPr>
          <w:rFonts w:ascii="Times New Roman" w:hAnsi="Times New Roman" w:cs="Times New Roman"/>
          <w:sz w:val="24"/>
          <w:szCs w:val="24"/>
        </w:rPr>
        <w:t xml:space="preserve">n their </w:t>
      </w:r>
      <w:r w:rsidR="00356341" w:rsidRPr="00F33937">
        <w:rPr>
          <w:rFonts w:ascii="Times New Roman" w:hAnsi="Times New Roman" w:cs="Times New Roman"/>
          <w:sz w:val="24"/>
          <w:szCs w:val="24"/>
        </w:rPr>
        <w:t xml:space="preserve">Supreme Court </w:t>
      </w:r>
      <w:r w:rsidR="003F27D9" w:rsidRPr="00F33937">
        <w:rPr>
          <w:rFonts w:ascii="Times New Roman" w:hAnsi="Times New Roman" w:cs="Times New Roman"/>
          <w:sz w:val="24"/>
          <w:szCs w:val="24"/>
        </w:rPr>
        <w:t>appeal, they r</w:t>
      </w:r>
      <w:r w:rsidR="00491262" w:rsidRPr="00F33937">
        <w:rPr>
          <w:rFonts w:ascii="Times New Roman" w:hAnsi="Times New Roman" w:cs="Times New Roman"/>
          <w:sz w:val="24"/>
          <w:szCs w:val="24"/>
        </w:rPr>
        <w:t>equested</w:t>
      </w:r>
      <w:r w:rsidR="003F27D9" w:rsidRPr="00F33937">
        <w:rPr>
          <w:rFonts w:ascii="Times New Roman" w:hAnsi="Times New Roman" w:cs="Times New Roman"/>
          <w:sz w:val="24"/>
          <w:szCs w:val="24"/>
        </w:rPr>
        <w:t xml:space="preserve">, </w:t>
      </w:r>
      <w:r w:rsidR="003F27D9" w:rsidRPr="00F33937">
        <w:rPr>
          <w:rFonts w:ascii="Times New Roman" w:hAnsi="Times New Roman" w:cs="Times New Roman"/>
          <w:i/>
          <w:sz w:val="24"/>
          <w:szCs w:val="24"/>
        </w:rPr>
        <w:t>inter alia,</w:t>
      </w:r>
      <w:r w:rsidR="00491262" w:rsidRPr="00F33937">
        <w:rPr>
          <w:rFonts w:ascii="Times New Roman" w:hAnsi="Times New Roman" w:cs="Times New Roman"/>
          <w:sz w:val="24"/>
          <w:szCs w:val="24"/>
        </w:rPr>
        <w:t xml:space="preserve"> </w:t>
      </w:r>
      <w:r w:rsidR="00356341" w:rsidRPr="00F33937">
        <w:rPr>
          <w:rFonts w:ascii="Times New Roman" w:hAnsi="Times New Roman" w:cs="Times New Roman"/>
          <w:sz w:val="24"/>
          <w:szCs w:val="24"/>
        </w:rPr>
        <w:t xml:space="preserve">that </w:t>
      </w:r>
      <w:r w:rsidR="001D3B7D" w:rsidRPr="00F33937">
        <w:rPr>
          <w:rFonts w:ascii="Times New Roman" w:hAnsi="Times New Roman" w:cs="Times New Roman"/>
          <w:sz w:val="24"/>
          <w:szCs w:val="24"/>
        </w:rPr>
        <w:t>the S</w:t>
      </w:r>
      <w:r w:rsidR="00491262" w:rsidRPr="00F33937">
        <w:rPr>
          <w:rFonts w:ascii="Times New Roman" w:hAnsi="Times New Roman" w:cs="Times New Roman"/>
          <w:sz w:val="24"/>
          <w:szCs w:val="24"/>
        </w:rPr>
        <w:t xml:space="preserve">tate </w:t>
      </w:r>
      <w:r w:rsidR="00AE6F4D" w:rsidRPr="00F33937">
        <w:rPr>
          <w:rFonts w:ascii="Times New Roman" w:hAnsi="Times New Roman" w:cs="Times New Roman"/>
          <w:sz w:val="24"/>
          <w:szCs w:val="24"/>
        </w:rPr>
        <w:t xml:space="preserve">acknowledge responsibility </w:t>
      </w:r>
      <w:r w:rsidR="006458B3" w:rsidRPr="00F33937">
        <w:rPr>
          <w:rFonts w:ascii="Times New Roman" w:hAnsi="Times New Roman" w:cs="Times New Roman"/>
          <w:sz w:val="24"/>
          <w:szCs w:val="24"/>
        </w:rPr>
        <w:t xml:space="preserve">for </w:t>
      </w:r>
      <w:r w:rsidR="00103F50" w:rsidRPr="00F33937">
        <w:rPr>
          <w:rFonts w:ascii="Times New Roman" w:hAnsi="Times New Roman" w:cs="Times New Roman"/>
          <w:sz w:val="24"/>
          <w:szCs w:val="24"/>
        </w:rPr>
        <w:t xml:space="preserve">its </w:t>
      </w:r>
      <w:r w:rsidR="006458B3" w:rsidRPr="00F33937">
        <w:rPr>
          <w:rFonts w:ascii="Times New Roman" w:hAnsi="Times New Roman" w:cs="Times New Roman"/>
          <w:sz w:val="24"/>
          <w:szCs w:val="24"/>
        </w:rPr>
        <w:t>failure to secure the civilian-populated area of Paraio</w:t>
      </w:r>
      <w:r w:rsidR="00034817" w:rsidRPr="00F33937">
        <w:rPr>
          <w:rFonts w:ascii="Times New Roman" w:hAnsi="Times New Roman" w:cs="Times New Roman"/>
          <w:sz w:val="24"/>
          <w:szCs w:val="24"/>
        </w:rPr>
        <w:t xml:space="preserve"> from actions causing avoidable deaths.</w:t>
      </w:r>
      <w:r w:rsidR="002118CA" w:rsidRPr="00F33937">
        <w:rPr>
          <w:rStyle w:val="FootnoteReference"/>
          <w:rFonts w:ascii="Times New Roman" w:hAnsi="Times New Roman" w:cs="Times New Roman"/>
          <w:sz w:val="24"/>
          <w:szCs w:val="24"/>
        </w:rPr>
        <w:footnoteReference w:id="50"/>
      </w:r>
      <w:r w:rsidR="00A56AF6" w:rsidRPr="00F33937">
        <w:rPr>
          <w:rFonts w:ascii="Times New Roman" w:hAnsi="Times New Roman" w:cs="Times New Roman"/>
          <w:sz w:val="24"/>
          <w:szCs w:val="24"/>
        </w:rPr>
        <w:t xml:space="preserve"> </w:t>
      </w:r>
      <w:r w:rsidR="00356341" w:rsidRPr="00F33937">
        <w:rPr>
          <w:rFonts w:ascii="Times New Roman" w:hAnsi="Times New Roman" w:cs="Times New Roman"/>
          <w:sz w:val="24"/>
          <w:szCs w:val="24"/>
        </w:rPr>
        <w:t xml:space="preserve"> </w:t>
      </w:r>
      <w:r w:rsidR="008A23AF" w:rsidRPr="00F33937">
        <w:rPr>
          <w:rFonts w:ascii="Times New Roman" w:hAnsi="Times New Roman" w:cs="Times New Roman"/>
          <w:sz w:val="24"/>
          <w:szCs w:val="24"/>
        </w:rPr>
        <w:t xml:space="preserve">Claudio Ancho, another Paraio massacre victim, had </w:t>
      </w:r>
      <w:r w:rsidR="00356341" w:rsidRPr="00F33937">
        <w:rPr>
          <w:rFonts w:ascii="Times New Roman" w:hAnsi="Times New Roman" w:cs="Times New Roman"/>
          <w:sz w:val="24"/>
          <w:szCs w:val="24"/>
        </w:rPr>
        <w:t xml:space="preserve">also </w:t>
      </w:r>
      <w:r w:rsidR="008A23AF" w:rsidRPr="00F33937">
        <w:rPr>
          <w:rFonts w:ascii="Times New Roman" w:hAnsi="Times New Roman" w:cs="Times New Roman"/>
          <w:sz w:val="24"/>
          <w:szCs w:val="24"/>
        </w:rPr>
        <w:t xml:space="preserve">been convicted for aiding and abetting </w:t>
      </w:r>
      <w:r w:rsidR="00356341" w:rsidRPr="00F33937">
        <w:rPr>
          <w:rFonts w:ascii="Times New Roman" w:hAnsi="Times New Roman" w:cs="Times New Roman"/>
          <w:sz w:val="24"/>
          <w:szCs w:val="24"/>
        </w:rPr>
        <w:t>presumed terrorists</w:t>
      </w:r>
      <w:r w:rsidR="00CC4967" w:rsidRPr="00F33937">
        <w:rPr>
          <w:rFonts w:ascii="Times New Roman" w:hAnsi="Times New Roman" w:cs="Times New Roman"/>
          <w:sz w:val="24"/>
          <w:szCs w:val="24"/>
        </w:rPr>
        <w:t xml:space="preserve"> when he permitted cousins with secessionist</w:t>
      </w:r>
      <w:r w:rsidR="00FD4E1E" w:rsidRPr="00F33937">
        <w:rPr>
          <w:rFonts w:ascii="Times New Roman" w:hAnsi="Times New Roman" w:cs="Times New Roman"/>
          <w:sz w:val="24"/>
          <w:szCs w:val="24"/>
        </w:rPr>
        <w:t xml:space="preserve"> sympathies</w:t>
      </w:r>
      <w:r w:rsidR="00CC4967" w:rsidRPr="00F33937">
        <w:rPr>
          <w:rFonts w:ascii="Times New Roman" w:hAnsi="Times New Roman" w:cs="Times New Roman"/>
          <w:sz w:val="24"/>
          <w:szCs w:val="24"/>
        </w:rPr>
        <w:t xml:space="preserve"> to stay at his home temporarily.</w:t>
      </w:r>
      <w:r w:rsidR="00CC4967" w:rsidRPr="00F33937">
        <w:rPr>
          <w:rStyle w:val="FootnoteReference"/>
          <w:rFonts w:ascii="Times New Roman" w:hAnsi="Times New Roman" w:cs="Times New Roman"/>
          <w:sz w:val="24"/>
          <w:szCs w:val="24"/>
        </w:rPr>
        <w:footnoteReference w:id="51"/>
      </w:r>
      <w:r w:rsidR="000C26A1" w:rsidRPr="00F33937">
        <w:rPr>
          <w:rFonts w:ascii="Times New Roman" w:hAnsi="Times New Roman" w:cs="Times New Roman"/>
          <w:sz w:val="24"/>
          <w:szCs w:val="24"/>
        </w:rPr>
        <w:t xml:space="preserve">  </w:t>
      </w:r>
    </w:p>
    <w:p w14:paraId="04ABD9C5" w14:textId="15F5FC3C" w:rsidR="00D556DA" w:rsidRPr="00F33937" w:rsidRDefault="00A56AF6"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7314F3" w:rsidRPr="00F33937">
        <w:rPr>
          <w:rFonts w:ascii="Times New Roman" w:hAnsi="Times New Roman" w:cs="Times New Roman"/>
          <w:sz w:val="24"/>
          <w:szCs w:val="24"/>
        </w:rPr>
        <w:t>Approximately five months after</w:t>
      </w:r>
      <w:r w:rsidR="00876971" w:rsidRPr="00F33937">
        <w:rPr>
          <w:rFonts w:ascii="Times New Roman" w:hAnsi="Times New Roman" w:cs="Times New Roman"/>
          <w:sz w:val="24"/>
          <w:szCs w:val="24"/>
        </w:rPr>
        <w:t xml:space="preserve"> the village bombing, Charechia’s</w:t>
      </w:r>
      <w:r w:rsidR="00103F50" w:rsidRPr="00F33937">
        <w:rPr>
          <w:rFonts w:ascii="Times New Roman" w:hAnsi="Times New Roman" w:cs="Times New Roman"/>
          <w:sz w:val="24"/>
          <w:szCs w:val="24"/>
        </w:rPr>
        <w:t xml:space="preserve"> Supreme Court pronounced the death of Manual P</w:t>
      </w:r>
      <w:r w:rsidR="004B208E" w:rsidRPr="00F33937">
        <w:rPr>
          <w:rFonts w:ascii="Times New Roman" w:hAnsi="Times New Roman" w:cs="Times New Roman"/>
          <w:sz w:val="24"/>
          <w:szCs w:val="24"/>
        </w:rPr>
        <w:t>oblano an</w:t>
      </w:r>
      <w:r w:rsidRPr="00F33937">
        <w:rPr>
          <w:rFonts w:ascii="Times New Roman" w:hAnsi="Times New Roman" w:cs="Times New Roman"/>
          <w:sz w:val="24"/>
          <w:szCs w:val="24"/>
        </w:rPr>
        <w:t>d other massacre victims</w:t>
      </w:r>
      <w:r w:rsidR="00C01AD0" w:rsidRPr="00F33937">
        <w:rPr>
          <w:rFonts w:ascii="Times New Roman" w:hAnsi="Times New Roman" w:cs="Times New Roman"/>
          <w:sz w:val="24"/>
          <w:szCs w:val="24"/>
        </w:rPr>
        <w:t xml:space="preserve"> </w:t>
      </w:r>
      <w:r w:rsidR="008A23AF" w:rsidRPr="00F33937">
        <w:rPr>
          <w:rFonts w:ascii="Times New Roman" w:hAnsi="Times New Roman" w:cs="Times New Roman"/>
          <w:sz w:val="24"/>
          <w:szCs w:val="24"/>
        </w:rPr>
        <w:t xml:space="preserve">of the Ancho and Guajillo families </w:t>
      </w:r>
      <w:r w:rsidR="004B208E" w:rsidRPr="00F33937">
        <w:rPr>
          <w:rFonts w:ascii="Times New Roman" w:hAnsi="Times New Roman" w:cs="Times New Roman"/>
          <w:sz w:val="24"/>
          <w:szCs w:val="24"/>
        </w:rPr>
        <w:t>as</w:t>
      </w:r>
      <w:r w:rsidR="00103F50" w:rsidRPr="00F33937">
        <w:rPr>
          <w:rFonts w:ascii="Times New Roman" w:hAnsi="Times New Roman" w:cs="Times New Roman"/>
          <w:sz w:val="24"/>
          <w:szCs w:val="24"/>
        </w:rPr>
        <w:t xml:space="preserve"> “unavoidable</w:t>
      </w:r>
      <w:r w:rsidR="004B208E" w:rsidRPr="00F33937">
        <w:rPr>
          <w:rFonts w:ascii="Times New Roman" w:hAnsi="Times New Roman" w:cs="Times New Roman"/>
          <w:sz w:val="24"/>
          <w:szCs w:val="24"/>
        </w:rPr>
        <w:t>,</w:t>
      </w:r>
      <w:r w:rsidR="00103F50" w:rsidRPr="00F33937">
        <w:rPr>
          <w:rFonts w:ascii="Times New Roman" w:hAnsi="Times New Roman" w:cs="Times New Roman"/>
          <w:sz w:val="24"/>
          <w:szCs w:val="24"/>
        </w:rPr>
        <w:t>”</w:t>
      </w:r>
      <w:r w:rsidR="004B208E" w:rsidRPr="00F33937">
        <w:rPr>
          <w:rFonts w:ascii="Times New Roman" w:hAnsi="Times New Roman" w:cs="Times New Roman"/>
          <w:sz w:val="24"/>
          <w:szCs w:val="24"/>
        </w:rPr>
        <w:t xml:space="preserve"> yet</w:t>
      </w:r>
      <w:r w:rsidRPr="00F33937">
        <w:rPr>
          <w:rFonts w:ascii="Times New Roman" w:hAnsi="Times New Roman" w:cs="Times New Roman"/>
          <w:sz w:val="24"/>
          <w:szCs w:val="24"/>
        </w:rPr>
        <w:t xml:space="preserve"> </w:t>
      </w:r>
      <w:r w:rsidR="00DF5D36" w:rsidRPr="00F33937">
        <w:rPr>
          <w:rFonts w:ascii="Times New Roman" w:hAnsi="Times New Roman" w:cs="Times New Roman"/>
          <w:sz w:val="24"/>
          <w:szCs w:val="24"/>
        </w:rPr>
        <w:t>that Court</w:t>
      </w:r>
      <w:r w:rsidR="005211FB" w:rsidRPr="00F33937">
        <w:rPr>
          <w:rFonts w:ascii="Times New Roman" w:hAnsi="Times New Roman" w:cs="Times New Roman"/>
          <w:sz w:val="24"/>
          <w:szCs w:val="24"/>
        </w:rPr>
        <w:t xml:space="preserve"> awarded</w:t>
      </w:r>
      <w:r w:rsidR="004B208E" w:rsidRPr="00F33937">
        <w:rPr>
          <w:rFonts w:ascii="Times New Roman" w:hAnsi="Times New Roman" w:cs="Times New Roman"/>
          <w:sz w:val="24"/>
          <w:szCs w:val="24"/>
        </w:rPr>
        <w:t xml:space="preserve"> </w:t>
      </w:r>
      <w:r w:rsidRPr="00F33937">
        <w:rPr>
          <w:rFonts w:ascii="Times New Roman" w:hAnsi="Times New Roman" w:cs="Times New Roman"/>
          <w:sz w:val="24"/>
          <w:szCs w:val="24"/>
        </w:rPr>
        <w:t xml:space="preserve">Petitioners in </w:t>
      </w:r>
      <w:r w:rsidR="00A00CB5" w:rsidRPr="00F33937">
        <w:rPr>
          <w:rFonts w:ascii="Times New Roman" w:hAnsi="Times New Roman" w:cs="Times New Roman"/>
          <w:sz w:val="24"/>
          <w:szCs w:val="24"/>
        </w:rPr>
        <w:t xml:space="preserve">the Guajillo </w:t>
      </w:r>
      <w:r w:rsidR="00876971" w:rsidRPr="00F33937">
        <w:rPr>
          <w:rFonts w:ascii="Times New Roman" w:hAnsi="Times New Roman" w:cs="Times New Roman"/>
          <w:sz w:val="24"/>
          <w:szCs w:val="24"/>
        </w:rPr>
        <w:t>f</w:t>
      </w:r>
      <w:r w:rsidR="00A00CB5" w:rsidRPr="00F33937">
        <w:rPr>
          <w:rFonts w:ascii="Times New Roman" w:hAnsi="Times New Roman" w:cs="Times New Roman"/>
          <w:sz w:val="24"/>
          <w:szCs w:val="24"/>
        </w:rPr>
        <w:t>amily</w:t>
      </w:r>
      <w:r w:rsidR="002D1E7A" w:rsidRPr="00F33937">
        <w:rPr>
          <w:rFonts w:ascii="Times New Roman" w:hAnsi="Times New Roman" w:cs="Times New Roman"/>
          <w:sz w:val="24"/>
          <w:szCs w:val="24"/>
        </w:rPr>
        <w:t xml:space="preserve"> </w:t>
      </w:r>
      <w:r w:rsidR="00300D40" w:rsidRPr="00F33937">
        <w:rPr>
          <w:rFonts w:ascii="Times New Roman" w:hAnsi="Times New Roman" w:cs="Times New Roman"/>
          <w:sz w:val="24"/>
          <w:szCs w:val="24"/>
        </w:rPr>
        <w:t>damages in the amount of</w:t>
      </w:r>
      <w:r w:rsidR="005211FB" w:rsidRPr="00F33937">
        <w:rPr>
          <w:rFonts w:ascii="Times New Roman" w:hAnsi="Times New Roman" w:cs="Times New Roman"/>
          <w:sz w:val="24"/>
          <w:szCs w:val="24"/>
        </w:rPr>
        <w:t xml:space="preserve"> $75,000.</w:t>
      </w:r>
      <w:r w:rsidR="00FC1DA3" w:rsidRPr="00F33937">
        <w:rPr>
          <w:rStyle w:val="FootnoteReference"/>
          <w:rFonts w:ascii="Times New Roman" w:hAnsi="Times New Roman" w:cs="Times New Roman"/>
          <w:sz w:val="24"/>
          <w:szCs w:val="24"/>
        </w:rPr>
        <w:footnoteReference w:id="52"/>
      </w:r>
      <w:r w:rsidR="005211FB" w:rsidRPr="00F33937">
        <w:rPr>
          <w:rFonts w:ascii="Times New Roman" w:hAnsi="Times New Roman" w:cs="Times New Roman"/>
          <w:sz w:val="24"/>
          <w:szCs w:val="24"/>
        </w:rPr>
        <w:t xml:space="preserve"> </w:t>
      </w:r>
      <w:r w:rsidR="008E67CB" w:rsidRPr="00F33937">
        <w:rPr>
          <w:rFonts w:ascii="Times New Roman" w:hAnsi="Times New Roman" w:cs="Times New Roman"/>
          <w:sz w:val="24"/>
          <w:szCs w:val="24"/>
        </w:rPr>
        <w:t xml:space="preserve"> Unlike the Poblano and Ancho families, n</w:t>
      </w:r>
      <w:r w:rsidR="008076F1" w:rsidRPr="00F33937">
        <w:rPr>
          <w:rFonts w:ascii="Times New Roman" w:hAnsi="Times New Roman" w:cs="Times New Roman"/>
          <w:sz w:val="24"/>
          <w:szCs w:val="24"/>
        </w:rPr>
        <w:t>o member of the Guajillo family</w:t>
      </w:r>
      <w:r w:rsidRPr="00F33937">
        <w:rPr>
          <w:rFonts w:ascii="Times New Roman" w:hAnsi="Times New Roman" w:cs="Times New Roman"/>
          <w:sz w:val="24"/>
          <w:szCs w:val="24"/>
        </w:rPr>
        <w:t>, according to Charechian government investigation,</w:t>
      </w:r>
      <w:r w:rsidR="008076F1" w:rsidRPr="00F33937">
        <w:rPr>
          <w:rFonts w:ascii="Times New Roman" w:hAnsi="Times New Roman" w:cs="Times New Roman"/>
          <w:sz w:val="24"/>
          <w:szCs w:val="24"/>
        </w:rPr>
        <w:t xml:space="preserve"> has been found to have conn</w:t>
      </w:r>
      <w:r w:rsidR="00AF4940" w:rsidRPr="00F33937">
        <w:rPr>
          <w:rFonts w:ascii="Times New Roman" w:hAnsi="Times New Roman" w:cs="Times New Roman"/>
          <w:sz w:val="24"/>
          <w:szCs w:val="24"/>
        </w:rPr>
        <w:t xml:space="preserve">ections with </w:t>
      </w:r>
      <w:r w:rsidR="00BA3541" w:rsidRPr="00F33937">
        <w:rPr>
          <w:rFonts w:ascii="Times New Roman" w:hAnsi="Times New Roman" w:cs="Times New Roman"/>
          <w:sz w:val="24"/>
          <w:szCs w:val="24"/>
        </w:rPr>
        <w:t>secessionist faction Shield of the North</w:t>
      </w:r>
      <w:r w:rsidR="008076F1" w:rsidRPr="00F33937">
        <w:rPr>
          <w:rFonts w:ascii="Times New Roman" w:hAnsi="Times New Roman" w:cs="Times New Roman"/>
          <w:sz w:val="24"/>
          <w:szCs w:val="24"/>
        </w:rPr>
        <w:t>.</w:t>
      </w:r>
      <w:r w:rsidR="008076F1" w:rsidRPr="00F33937">
        <w:rPr>
          <w:rStyle w:val="FootnoteReference"/>
          <w:rFonts w:ascii="Times New Roman" w:hAnsi="Times New Roman" w:cs="Times New Roman"/>
          <w:sz w:val="24"/>
          <w:szCs w:val="24"/>
        </w:rPr>
        <w:footnoteReference w:id="53"/>
      </w:r>
    </w:p>
    <w:p w14:paraId="117A80C9" w14:textId="4D7A9A6B" w:rsidR="00C220FE" w:rsidRPr="00F33937" w:rsidRDefault="005C4AF6"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The Republic of Charechia has a history of</w:t>
      </w:r>
      <w:r w:rsidR="00265C3B" w:rsidRPr="00F33937">
        <w:rPr>
          <w:rFonts w:ascii="Times New Roman" w:hAnsi="Times New Roman" w:cs="Times New Roman"/>
          <w:sz w:val="24"/>
          <w:szCs w:val="24"/>
        </w:rPr>
        <w:t xml:space="preserve"> </w:t>
      </w:r>
      <w:r w:rsidR="003E2049" w:rsidRPr="00F33937">
        <w:rPr>
          <w:rFonts w:ascii="Times New Roman" w:hAnsi="Times New Roman" w:cs="Times New Roman"/>
          <w:sz w:val="24"/>
          <w:szCs w:val="24"/>
        </w:rPr>
        <w:t xml:space="preserve">awarding next-of-kin </w:t>
      </w:r>
      <w:r w:rsidR="00742F75" w:rsidRPr="00F33937">
        <w:rPr>
          <w:rFonts w:ascii="Times New Roman" w:hAnsi="Times New Roman" w:cs="Times New Roman"/>
          <w:sz w:val="24"/>
          <w:szCs w:val="24"/>
        </w:rPr>
        <w:t xml:space="preserve">compensation for </w:t>
      </w:r>
      <w:r w:rsidR="00E1587E" w:rsidRPr="00F33937">
        <w:rPr>
          <w:rFonts w:ascii="Times New Roman" w:hAnsi="Times New Roman" w:cs="Times New Roman"/>
          <w:sz w:val="24"/>
          <w:szCs w:val="24"/>
        </w:rPr>
        <w:t>injuries</w:t>
      </w:r>
      <w:r w:rsidR="00A811B5">
        <w:rPr>
          <w:rFonts w:ascii="Times New Roman" w:hAnsi="Times New Roman" w:cs="Times New Roman"/>
          <w:sz w:val="24"/>
          <w:szCs w:val="24"/>
        </w:rPr>
        <w:t xml:space="preserve"> of physical, mental, and moral integrity</w:t>
      </w:r>
      <w:r w:rsidR="00A811B5">
        <w:rPr>
          <w:rStyle w:val="FootnoteReference"/>
          <w:rFonts w:ascii="Times New Roman" w:hAnsi="Times New Roman" w:cs="Times New Roman"/>
          <w:sz w:val="24"/>
          <w:szCs w:val="24"/>
        </w:rPr>
        <w:footnoteReference w:id="54"/>
      </w:r>
      <w:r w:rsidR="00742F75" w:rsidRPr="00F33937">
        <w:rPr>
          <w:rFonts w:ascii="Times New Roman" w:hAnsi="Times New Roman" w:cs="Times New Roman"/>
          <w:sz w:val="24"/>
          <w:szCs w:val="24"/>
        </w:rPr>
        <w:t xml:space="preserve"> </w:t>
      </w:r>
      <w:r w:rsidR="00B15A3A" w:rsidRPr="00F33937">
        <w:rPr>
          <w:rFonts w:ascii="Times New Roman" w:hAnsi="Times New Roman" w:cs="Times New Roman"/>
          <w:sz w:val="24"/>
          <w:szCs w:val="24"/>
        </w:rPr>
        <w:t>and</w:t>
      </w:r>
      <w:r w:rsidRPr="00F33937">
        <w:rPr>
          <w:rFonts w:ascii="Times New Roman" w:hAnsi="Times New Roman" w:cs="Times New Roman"/>
          <w:sz w:val="24"/>
          <w:szCs w:val="24"/>
        </w:rPr>
        <w:t xml:space="preserve"> </w:t>
      </w:r>
      <w:r w:rsidR="00A811B5">
        <w:rPr>
          <w:rFonts w:ascii="Times New Roman" w:hAnsi="Times New Roman" w:cs="Times New Roman"/>
          <w:sz w:val="24"/>
          <w:szCs w:val="24"/>
        </w:rPr>
        <w:t xml:space="preserve">for </w:t>
      </w:r>
      <w:r w:rsidRPr="00F33937">
        <w:rPr>
          <w:rFonts w:ascii="Times New Roman" w:hAnsi="Times New Roman" w:cs="Times New Roman"/>
          <w:sz w:val="24"/>
          <w:szCs w:val="24"/>
        </w:rPr>
        <w:t>loss of</w:t>
      </w:r>
      <w:r w:rsidR="000D247E" w:rsidRPr="00F33937">
        <w:rPr>
          <w:rFonts w:ascii="Times New Roman" w:hAnsi="Times New Roman" w:cs="Times New Roman"/>
          <w:sz w:val="24"/>
          <w:szCs w:val="24"/>
        </w:rPr>
        <w:t xml:space="preserve"> life</w:t>
      </w:r>
      <w:r w:rsidR="003E2049" w:rsidRPr="00F33937">
        <w:rPr>
          <w:rFonts w:ascii="Times New Roman" w:hAnsi="Times New Roman" w:cs="Times New Roman"/>
          <w:sz w:val="24"/>
          <w:szCs w:val="24"/>
        </w:rPr>
        <w:t>.</w:t>
      </w:r>
      <w:r w:rsidR="00A811B5">
        <w:rPr>
          <w:rStyle w:val="FootnoteReference"/>
          <w:rFonts w:ascii="Times New Roman" w:hAnsi="Times New Roman" w:cs="Times New Roman"/>
          <w:sz w:val="24"/>
          <w:szCs w:val="24"/>
        </w:rPr>
        <w:footnoteReference w:id="55"/>
      </w:r>
      <w:r w:rsidR="003E2049" w:rsidRPr="00F33937">
        <w:rPr>
          <w:rFonts w:ascii="Times New Roman" w:hAnsi="Times New Roman" w:cs="Times New Roman"/>
          <w:sz w:val="24"/>
          <w:szCs w:val="24"/>
        </w:rPr>
        <w:t xml:space="preserve">  </w:t>
      </w:r>
      <w:r w:rsidR="00E1587E" w:rsidRPr="00F33937">
        <w:rPr>
          <w:rFonts w:ascii="Times New Roman" w:hAnsi="Times New Roman" w:cs="Times New Roman"/>
          <w:sz w:val="24"/>
          <w:szCs w:val="24"/>
        </w:rPr>
        <w:t xml:space="preserve">Less than two weeks before the three families in the instant case </w:t>
      </w:r>
      <w:r w:rsidRPr="00F33937">
        <w:rPr>
          <w:rFonts w:ascii="Times New Roman" w:hAnsi="Times New Roman" w:cs="Times New Roman"/>
          <w:sz w:val="24"/>
          <w:szCs w:val="24"/>
        </w:rPr>
        <w:t>lost loved ones</w:t>
      </w:r>
      <w:r w:rsidR="00742F75" w:rsidRPr="00F33937">
        <w:rPr>
          <w:rFonts w:ascii="Times New Roman" w:hAnsi="Times New Roman" w:cs="Times New Roman"/>
          <w:sz w:val="24"/>
          <w:szCs w:val="24"/>
        </w:rPr>
        <w:t xml:space="preserve"> </w:t>
      </w:r>
      <w:r w:rsidR="00E1587E" w:rsidRPr="00F33937">
        <w:rPr>
          <w:rFonts w:ascii="Times New Roman" w:hAnsi="Times New Roman" w:cs="Times New Roman"/>
          <w:sz w:val="24"/>
          <w:szCs w:val="24"/>
        </w:rPr>
        <w:t>in the Paraio bombing</w:t>
      </w:r>
      <w:r w:rsidR="00EA23AB" w:rsidRPr="00F33937">
        <w:rPr>
          <w:rFonts w:ascii="Times New Roman" w:hAnsi="Times New Roman" w:cs="Times New Roman"/>
          <w:sz w:val="24"/>
          <w:szCs w:val="24"/>
        </w:rPr>
        <w:t xml:space="preserve">, </w:t>
      </w:r>
      <w:r w:rsidR="00B061B4" w:rsidRPr="00F33937">
        <w:rPr>
          <w:rFonts w:ascii="Times New Roman" w:hAnsi="Times New Roman" w:cs="Times New Roman"/>
          <w:sz w:val="24"/>
          <w:szCs w:val="24"/>
        </w:rPr>
        <w:t>Charechia’s President</w:t>
      </w:r>
      <w:r w:rsidR="00742F75" w:rsidRPr="00F33937">
        <w:rPr>
          <w:rFonts w:ascii="Times New Roman" w:hAnsi="Times New Roman" w:cs="Times New Roman"/>
          <w:sz w:val="24"/>
          <w:szCs w:val="24"/>
        </w:rPr>
        <w:t xml:space="preserve"> </w:t>
      </w:r>
      <w:r w:rsidR="00E1587E" w:rsidRPr="00F33937">
        <w:rPr>
          <w:rFonts w:ascii="Times New Roman" w:hAnsi="Times New Roman" w:cs="Times New Roman"/>
          <w:sz w:val="24"/>
          <w:szCs w:val="24"/>
        </w:rPr>
        <w:t>compensated victims of</w:t>
      </w:r>
      <w:r w:rsidR="009316A0" w:rsidRPr="00F33937">
        <w:rPr>
          <w:rFonts w:ascii="Times New Roman" w:hAnsi="Times New Roman" w:cs="Times New Roman"/>
          <w:sz w:val="24"/>
          <w:szCs w:val="24"/>
        </w:rPr>
        <w:t xml:space="preserve"> kin death</w:t>
      </w:r>
      <w:r w:rsidR="00725147" w:rsidRPr="00F33937">
        <w:rPr>
          <w:rFonts w:ascii="Times New Roman" w:hAnsi="Times New Roman" w:cs="Times New Roman"/>
          <w:sz w:val="24"/>
          <w:szCs w:val="24"/>
        </w:rPr>
        <w:t xml:space="preserve"> committed by secessionists</w:t>
      </w:r>
      <w:r w:rsidR="00742F75" w:rsidRPr="00F33937">
        <w:rPr>
          <w:rFonts w:ascii="Times New Roman" w:hAnsi="Times New Roman" w:cs="Times New Roman"/>
          <w:sz w:val="24"/>
          <w:szCs w:val="24"/>
        </w:rPr>
        <w:t>,</w:t>
      </w:r>
      <w:r w:rsidR="000153E3" w:rsidRPr="00F33937">
        <w:rPr>
          <w:rFonts w:ascii="Times New Roman" w:hAnsi="Times New Roman" w:cs="Times New Roman"/>
          <w:sz w:val="24"/>
          <w:szCs w:val="24"/>
        </w:rPr>
        <w:t xml:space="preserve"> through </w:t>
      </w:r>
      <w:r w:rsidR="00E1587E" w:rsidRPr="00F33937">
        <w:rPr>
          <w:rFonts w:ascii="Times New Roman" w:hAnsi="Times New Roman" w:cs="Times New Roman"/>
          <w:sz w:val="24"/>
          <w:szCs w:val="24"/>
        </w:rPr>
        <w:t>$</w:t>
      </w:r>
      <w:r w:rsidR="00265C3B" w:rsidRPr="00F33937">
        <w:rPr>
          <w:rFonts w:ascii="Times New Roman" w:hAnsi="Times New Roman" w:cs="Times New Roman"/>
          <w:sz w:val="24"/>
          <w:szCs w:val="24"/>
        </w:rPr>
        <w:t xml:space="preserve">100,000 </w:t>
      </w:r>
      <w:r w:rsidR="00742F75" w:rsidRPr="00F33937">
        <w:rPr>
          <w:rFonts w:ascii="Times New Roman" w:hAnsi="Times New Roman" w:cs="Times New Roman"/>
          <w:sz w:val="24"/>
          <w:szCs w:val="24"/>
        </w:rPr>
        <w:t xml:space="preserve">per </w:t>
      </w:r>
      <w:r w:rsidR="00742F75" w:rsidRPr="00F33937">
        <w:rPr>
          <w:rFonts w:ascii="Times New Roman" w:hAnsi="Times New Roman" w:cs="Times New Roman"/>
          <w:sz w:val="24"/>
          <w:szCs w:val="24"/>
        </w:rPr>
        <w:lastRenderedPageBreak/>
        <w:t xml:space="preserve">survivor’s family </w:t>
      </w:r>
      <w:r w:rsidR="00E1587E" w:rsidRPr="00F33937">
        <w:rPr>
          <w:rFonts w:ascii="Times New Roman" w:hAnsi="Times New Roman" w:cs="Times New Roman"/>
          <w:sz w:val="24"/>
          <w:szCs w:val="24"/>
        </w:rPr>
        <w:t>and $200,000</w:t>
      </w:r>
      <w:r w:rsidR="00742F75" w:rsidRPr="00F33937">
        <w:rPr>
          <w:rFonts w:ascii="Times New Roman" w:hAnsi="Times New Roman" w:cs="Times New Roman"/>
          <w:sz w:val="24"/>
          <w:szCs w:val="24"/>
        </w:rPr>
        <w:t xml:space="preserve"> per deceased victim’s family</w:t>
      </w:r>
      <w:r w:rsidR="00E1587E" w:rsidRPr="00F33937">
        <w:rPr>
          <w:rFonts w:ascii="Times New Roman" w:hAnsi="Times New Roman" w:cs="Times New Roman"/>
          <w:sz w:val="24"/>
          <w:szCs w:val="24"/>
        </w:rPr>
        <w:t>.</w:t>
      </w:r>
      <w:r w:rsidR="00E1587E" w:rsidRPr="00F33937">
        <w:rPr>
          <w:rStyle w:val="FootnoteReference"/>
          <w:rFonts w:ascii="Times New Roman" w:hAnsi="Times New Roman" w:cs="Times New Roman"/>
          <w:sz w:val="24"/>
          <w:szCs w:val="24"/>
        </w:rPr>
        <w:footnoteReference w:id="56"/>
      </w:r>
      <w:r w:rsidR="009D33A8" w:rsidRPr="00F33937">
        <w:rPr>
          <w:rFonts w:ascii="Times New Roman" w:hAnsi="Times New Roman" w:cs="Times New Roman"/>
          <w:sz w:val="24"/>
          <w:szCs w:val="24"/>
        </w:rPr>
        <w:t xml:space="preserve">  P</w:t>
      </w:r>
      <w:r w:rsidR="00BF64B9" w:rsidRPr="00F33937">
        <w:rPr>
          <w:rFonts w:ascii="Times New Roman" w:hAnsi="Times New Roman" w:cs="Times New Roman"/>
          <w:sz w:val="24"/>
          <w:szCs w:val="24"/>
        </w:rPr>
        <w:t>ersons harboring</w:t>
      </w:r>
      <w:r w:rsidR="006E0B5C" w:rsidRPr="00F33937">
        <w:rPr>
          <w:rFonts w:ascii="Times New Roman" w:hAnsi="Times New Roman" w:cs="Times New Roman"/>
          <w:sz w:val="24"/>
          <w:szCs w:val="24"/>
        </w:rPr>
        <w:t xml:space="preserve"> Shield of the North sympathies</w:t>
      </w:r>
      <w:r w:rsidR="00725147" w:rsidRPr="00F33937">
        <w:rPr>
          <w:rFonts w:ascii="Times New Roman" w:hAnsi="Times New Roman" w:cs="Times New Roman"/>
          <w:sz w:val="24"/>
          <w:szCs w:val="24"/>
        </w:rPr>
        <w:t xml:space="preserve"> have been characterized by the President as terrorists.</w:t>
      </w:r>
      <w:r w:rsidR="00725147" w:rsidRPr="00F33937">
        <w:rPr>
          <w:rStyle w:val="FootnoteReference"/>
          <w:rFonts w:ascii="Times New Roman" w:hAnsi="Times New Roman" w:cs="Times New Roman"/>
          <w:sz w:val="24"/>
          <w:szCs w:val="24"/>
        </w:rPr>
        <w:footnoteReference w:id="57"/>
      </w:r>
    </w:p>
    <w:p w14:paraId="71B4220B" w14:textId="37904595" w:rsidR="002A760C" w:rsidRPr="00F33937" w:rsidRDefault="00C220FE" w:rsidP="0040789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C609C1" w:rsidRPr="00F33937">
        <w:rPr>
          <w:rFonts w:ascii="Times New Roman" w:hAnsi="Times New Roman" w:cs="Times New Roman"/>
          <w:sz w:val="24"/>
          <w:szCs w:val="24"/>
        </w:rPr>
        <w:t xml:space="preserve"> </w:t>
      </w:r>
      <w:r w:rsidR="009D6232" w:rsidRPr="00F33937">
        <w:rPr>
          <w:rFonts w:ascii="Times New Roman" w:hAnsi="Times New Roman" w:cs="Times New Roman"/>
          <w:sz w:val="24"/>
          <w:szCs w:val="24"/>
        </w:rPr>
        <w:t>As the</w:t>
      </w:r>
      <w:r w:rsidR="006D193B" w:rsidRPr="00F33937">
        <w:rPr>
          <w:rFonts w:ascii="Times New Roman" w:hAnsi="Times New Roman" w:cs="Times New Roman"/>
          <w:sz w:val="24"/>
          <w:szCs w:val="24"/>
        </w:rPr>
        <w:t xml:space="preserve"> three </w:t>
      </w:r>
      <w:r w:rsidR="009D6232" w:rsidRPr="00F33937">
        <w:rPr>
          <w:rFonts w:ascii="Times New Roman" w:hAnsi="Times New Roman" w:cs="Times New Roman"/>
          <w:sz w:val="24"/>
          <w:szCs w:val="24"/>
        </w:rPr>
        <w:t xml:space="preserve">petitioning </w:t>
      </w:r>
      <w:r w:rsidR="006D193B" w:rsidRPr="00F33937">
        <w:rPr>
          <w:rFonts w:ascii="Times New Roman" w:hAnsi="Times New Roman" w:cs="Times New Roman"/>
          <w:sz w:val="24"/>
          <w:szCs w:val="24"/>
        </w:rPr>
        <w:t>families’</w:t>
      </w:r>
      <w:r w:rsidR="00500279" w:rsidRPr="00F33937">
        <w:rPr>
          <w:rFonts w:ascii="Times New Roman" w:hAnsi="Times New Roman" w:cs="Times New Roman"/>
          <w:sz w:val="24"/>
          <w:szCs w:val="24"/>
        </w:rPr>
        <w:t xml:space="preserve"> initial suits show</w:t>
      </w:r>
      <w:r w:rsidR="006D193B" w:rsidRPr="00F33937">
        <w:rPr>
          <w:rFonts w:ascii="Times New Roman" w:hAnsi="Times New Roman" w:cs="Times New Roman"/>
          <w:sz w:val="24"/>
          <w:szCs w:val="24"/>
        </w:rPr>
        <w:t xml:space="preserve"> identical </w:t>
      </w:r>
      <w:r w:rsidR="00444154" w:rsidRPr="00F33937">
        <w:rPr>
          <w:rFonts w:ascii="Times New Roman" w:hAnsi="Times New Roman" w:cs="Times New Roman"/>
          <w:sz w:val="24"/>
          <w:szCs w:val="24"/>
        </w:rPr>
        <w:t xml:space="preserve">state-executed harm </w:t>
      </w:r>
      <w:r w:rsidR="006D193B" w:rsidRPr="00F33937">
        <w:rPr>
          <w:rFonts w:ascii="Times New Roman" w:hAnsi="Times New Roman" w:cs="Times New Roman"/>
          <w:sz w:val="24"/>
          <w:szCs w:val="24"/>
        </w:rPr>
        <w:t>of their relatives, yet only one of the th</w:t>
      </w:r>
      <w:r w:rsidR="00EA23AB" w:rsidRPr="00F33937">
        <w:rPr>
          <w:rFonts w:ascii="Times New Roman" w:hAnsi="Times New Roman" w:cs="Times New Roman"/>
          <w:sz w:val="24"/>
          <w:szCs w:val="24"/>
        </w:rPr>
        <w:t>ree families was</w:t>
      </w:r>
      <w:r w:rsidR="008F2CA2" w:rsidRPr="00F33937">
        <w:rPr>
          <w:rFonts w:ascii="Times New Roman" w:hAnsi="Times New Roman" w:cs="Times New Roman"/>
          <w:sz w:val="24"/>
          <w:szCs w:val="24"/>
        </w:rPr>
        <w:t xml:space="preserve"> granted compensation of any kind</w:t>
      </w:r>
      <w:r w:rsidR="006D193B" w:rsidRPr="00F33937">
        <w:rPr>
          <w:rFonts w:ascii="Times New Roman" w:hAnsi="Times New Roman" w:cs="Times New Roman"/>
          <w:sz w:val="24"/>
          <w:szCs w:val="24"/>
        </w:rPr>
        <w:t xml:space="preserve">, </w:t>
      </w:r>
      <w:r w:rsidR="00BD642A" w:rsidRPr="00F33937">
        <w:rPr>
          <w:rFonts w:ascii="Times New Roman" w:hAnsi="Times New Roman" w:cs="Times New Roman"/>
          <w:sz w:val="24"/>
          <w:szCs w:val="24"/>
        </w:rPr>
        <w:t>the S</w:t>
      </w:r>
      <w:r w:rsidR="00500279" w:rsidRPr="00F33937">
        <w:rPr>
          <w:rFonts w:ascii="Times New Roman" w:hAnsi="Times New Roman" w:cs="Times New Roman"/>
          <w:sz w:val="24"/>
          <w:szCs w:val="24"/>
        </w:rPr>
        <w:t xml:space="preserve">tate—by </w:t>
      </w:r>
      <w:r w:rsidR="00BD642A" w:rsidRPr="00F33937">
        <w:rPr>
          <w:rFonts w:ascii="Times New Roman" w:hAnsi="Times New Roman" w:cs="Times New Roman"/>
          <w:sz w:val="24"/>
          <w:szCs w:val="24"/>
        </w:rPr>
        <w:t>withholding comparable award</w:t>
      </w:r>
      <w:r w:rsidR="00552C5E" w:rsidRPr="00F33937">
        <w:rPr>
          <w:rFonts w:ascii="Times New Roman" w:hAnsi="Times New Roman" w:cs="Times New Roman"/>
          <w:sz w:val="24"/>
          <w:szCs w:val="24"/>
        </w:rPr>
        <w:t xml:space="preserve"> to </w:t>
      </w:r>
      <w:r w:rsidR="001D3B7D" w:rsidRPr="00F33937">
        <w:rPr>
          <w:rFonts w:ascii="Times New Roman" w:hAnsi="Times New Roman" w:cs="Times New Roman"/>
          <w:sz w:val="24"/>
          <w:szCs w:val="24"/>
        </w:rPr>
        <w:t xml:space="preserve">two of the three </w:t>
      </w:r>
      <w:r w:rsidR="00552C5E" w:rsidRPr="00F33937">
        <w:rPr>
          <w:rFonts w:ascii="Times New Roman" w:hAnsi="Times New Roman" w:cs="Times New Roman"/>
          <w:sz w:val="24"/>
          <w:szCs w:val="24"/>
        </w:rPr>
        <w:t>parties</w:t>
      </w:r>
      <w:r w:rsidR="001D3B7D" w:rsidRPr="00F33937">
        <w:rPr>
          <w:rFonts w:ascii="Times New Roman" w:hAnsi="Times New Roman" w:cs="Times New Roman"/>
          <w:sz w:val="24"/>
          <w:szCs w:val="24"/>
        </w:rPr>
        <w:t xml:space="preserve"> injured</w:t>
      </w:r>
      <w:r w:rsidR="00500279" w:rsidRPr="00F33937">
        <w:rPr>
          <w:rFonts w:ascii="Times New Roman" w:hAnsi="Times New Roman" w:cs="Times New Roman"/>
          <w:sz w:val="24"/>
          <w:szCs w:val="24"/>
        </w:rPr>
        <w:t xml:space="preserve">—showed </w:t>
      </w:r>
      <w:r w:rsidR="008F2CA2" w:rsidRPr="00F33937">
        <w:rPr>
          <w:rFonts w:ascii="Times New Roman" w:hAnsi="Times New Roman" w:cs="Times New Roman"/>
          <w:sz w:val="24"/>
          <w:szCs w:val="24"/>
        </w:rPr>
        <w:t>bias against</w:t>
      </w:r>
      <w:r w:rsidR="00BD642A" w:rsidRPr="00F33937">
        <w:rPr>
          <w:rFonts w:ascii="Times New Roman" w:hAnsi="Times New Roman" w:cs="Times New Roman"/>
          <w:sz w:val="24"/>
          <w:szCs w:val="24"/>
        </w:rPr>
        <w:t xml:space="preserve"> the Poblano and A</w:t>
      </w:r>
      <w:r w:rsidR="00E426CF" w:rsidRPr="00F33937">
        <w:rPr>
          <w:rFonts w:ascii="Times New Roman" w:hAnsi="Times New Roman" w:cs="Times New Roman"/>
          <w:sz w:val="24"/>
          <w:szCs w:val="24"/>
        </w:rPr>
        <w:t>ncho families</w:t>
      </w:r>
      <w:r w:rsidR="00E47DEA" w:rsidRPr="00F33937">
        <w:rPr>
          <w:rFonts w:ascii="Times New Roman" w:hAnsi="Times New Roman" w:cs="Times New Roman"/>
          <w:sz w:val="24"/>
          <w:szCs w:val="24"/>
        </w:rPr>
        <w:t>,</w:t>
      </w:r>
      <w:r w:rsidR="00500279" w:rsidRPr="00F33937">
        <w:rPr>
          <w:rFonts w:ascii="Times New Roman" w:hAnsi="Times New Roman" w:cs="Times New Roman"/>
          <w:sz w:val="24"/>
          <w:szCs w:val="24"/>
        </w:rPr>
        <w:t xml:space="preserve"> whose ranks include anti-gov</w:t>
      </w:r>
      <w:r w:rsidR="000C2AC4" w:rsidRPr="00F33937">
        <w:rPr>
          <w:rFonts w:ascii="Times New Roman" w:hAnsi="Times New Roman" w:cs="Times New Roman"/>
          <w:sz w:val="24"/>
          <w:szCs w:val="24"/>
        </w:rPr>
        <w:t xml:space="preserve">ernment activity convictions.  </w:t>
      </w:r>
      <w:r w:rsidR="00EA23AB" w:rsidRPr="00F33937">
        <w:rPr>
          <w:rFonts w:ascii="Times New Roman" w:hAnsi="Times New Roman" w:cs="Times New Roman"/>
          <w:sz w:val="24"/>
          <w:szCs w:val="24"/>
        </w:rPr>
        <w:tab/>
      </w:r>
      <w:r w:rsidR="003D0938" w:rsidRPr="00F33937">
        <w:rPr>
          <w:rFonts w:ascii="Times New Roman" w:hAnsi="Times New Roman" w:cs="Times New Roman"/>
          <w:sz w:val="24"/>
          <w:szCs w:val="24"/>
        </w:rPr>
        <w:t xml:space="preserve">Charechia’s </w:t>
      </w:r>
      <w:r w:rsidR="008D14F5" w:rsidRPr="00F33937">
        <w:rPr>
          <w:rFonts w:ascii="Times New Roman" w:hAnsi="Times New Roman" w:cs="Times New Roman"/>
          <w:sz w:val="24"/>
          <w:szCs w:val="24"/>
        </w:rPr>
        <w:t>withholding of kin compensation contrasts with i</w:t>
      </w:r>
      <w:r w:rsidR="00EA23AB" w:rsidRPr="00F33937">
        <w:rPr>
          <w:rFonts w:ascii="Times New Roman" w:hAnsi="Times New Roman" w:cs="Times New Roman"/>
          <w:sz w:val="24"/>
          <w:szCs w:val="24"/>
        </w:rPr>
        <w:t>nternational law</w:t>
      </w:r>
      <w:r w:rsidR="008D14F5" w:rsidRPr="00F33937">
        <w:rPr>
          <w:rFonts w:ascii="Times New Roman" w:hAnsi="Times New Roman" w:cs="Times New Roman"/>
          <w:sz w:val="24"/>
          <w:szCs w:val="24"/>
        </w:rPr>
        <w:t>, which</w:t>
      </w:r>
      <w:r w:rsidR="00EA23AB" w:rsidRPr="00F33937">
        <w:rPr>
          <w:rFonts w:ascii="Times New Roman" w:hAnsi="Times New Roman" w:cs="Times New Roman"/>
          <w:sz w:val="24"/>
          <w:szCs w:val="24"/>
        </w:rPr>
        <w:t xml:space="preserve"> prohibits kin punishment. </w:t>
      </w:r>
      <w:r w:rsidR="00AB196F" w:rsidRPr="00F33937">
        <w:rPr>
          <w:rFonts w:ascii="Times New Roman" w:hAnsi="Times New Roman" w:cs="Times New Roman"/>
          <w:sz w:val="24"/>
          <w:szCs w:val="24"/>
        </w:rPr>
        <w:t>The Geneva Convention IV Article 33</w:t>
      </w:r>
      <w:r w:rsidR="00346FDA" w:rsidRPr="00F33937">
        <w:rPr>
          <w:rFonts w:ascii="Times New Roman" w:hAnsi="Times New Roman" w:cs="Times New Roman"/>
          <w:sz w:val="24"/>
          <w:szCs w:val="24"/>
        </w:rPr>
        <w:t xml:space="preserve"> states,</w:t>
      </w:r>
      <w:r w:rsidR="00725D32" w:rsidRPr="00F33937">
        <w:rPr>
          <w:rFonts w:ascii="Times New Roman" w:hAnsi="Times New Roman" w:cs="Times New Roman"/>
          <w:sz w:val="24"/>
          <w:szCs w:val="24"/>
        </w:rPr>
        <w:t xml:space="preserve"> for example, that</w:t>
      </w:r>
      <w:r w:rsidR="00346FDA" w:rsidRPr="00F33937">
        <w:rPr>
          <w:rFonts w:ascii="Times New Roman" w:hAnsi="Times New Roman" w:cs="Times New Roman"/>
          <w:sz w:val="24"/>
          <w:szCs w:val="24"/>
        </w:rPr>
        <w:t xml:space="preserve"> “</w:t>
      </w:r>
      <w:r w:rsidR="00346FDA" w:rsidRPr="00F33937">
        <w:rPr>
          <w:rFonts w:ascii="Times New Roman" w:hAnsi="Times New Roman" w:cs="Times New Roman"/>
          <w:sz w:val="24"/>
          <w:szCs w:val="24"/>
          <w:shd w:val="clear" w:color="auto" w:fill="FFFFFF"/>
        </w:rPr>
        <w:t>No protected person may be punished for an offence he or she has not personally committed.  Collective penalti</w:t>
      </w:r>
      <w:r w:rsidR="001F648F" w:rsidRPr="00F33937">
        <w:rPr>
          <w:rFonts w:ascii="Times New Roman" w:hAnsi="Times New Roman" w:cs="Times New Roman"/>
          <w:sz w:val="24"/>
          <w:szCs w:val="24"/>
          <w:shd w:val="clear" w:color="auto" w:fill="FFFFFF"/>
        </w:rPr>
        <w:t xml:space="preserve">es . . . </w:t>
      </w:r>
      <w:r w:rsidR="00346FDA" w:rsidRPr="00F33937">
        <w:rPr>
          <w:rFonts w:ascii="Times New Roman" w:hAnsi="Times New Roman" w:cs="Times New Roman"/>
          <w:sz w:val="24"/>
          <w:szCs w:val="24"/>
          <w:shd w:val="clear" w:color="auto" w:fill="FFFFFF"/>
        </w:rPr>
        <w:t>are prohibited.”</w:t>
      </w:r>
      <w:r w:rsidR="00346FDA" w:rsidRPr="00F33937">
        <w:rPr>
          <w:rStyle w:val="FootnoteReference"/>
          <w:rFonts w:ascii="Times New Roman" w:hAnsi="Times New Roman" w:cs="Times New Roman"/>
          <w:sz w:val="24"/>
          <w:szCs w:val="24"/>
          <w:shd w:val="clear" w:color="auto" w:fill="FFFFFF"/>
        </w:rPr>
        <w:footnoteReference w:id="58"/>
      </w:r>
      <w:r w:rsidR="00AB196F" w:rsidRPr="00F33937">
        <w:rPr>
          <w:rFonts w:ascii="Times New Roman" w:hAnsi="Times New Roman" w:cs="Times New Roman"/>
          <w:sz w:val="24"/>
          <w:szCs w:val="24"/>
        </w:rPr>
        <w:t xml:space="preserve"> </w:t>
      </w:r>
      <w:r w:rsidR="004C28E9" w:rsidRPr="00F33937">
        <w:rPr>
          <w:rFonts w:ascii="Times New Roman" w:hAnsi="Times New Roman" w:cs="Times New Roman"/>
          <w:sz w:val="24"/>
          <w:szCs w:val="24"/>
        </w:rPr>
        <w:t xml:space="preserve"> (This </w:t>
      </w:r>
      <w:r w:rsidR="00331C01" w:rsidRPr="00F33937">
        <w:rPr>
          <w:rFonts w:ascii="Times New Roman" w:hAnsi="Times New Roman" w:cs="Times New Roman"/>
          <w:sz w:val="24"/>
          <w:szCs w:val="24"/>
        </w:rPr>
        <w:t xml:space="preserve">punishment </w:t>
      </w:r>
      <w:r w:rsidR="004C28E9" w:rsidRPr="00F33937">
        <w:rPr>
          <w:rFonts w:ascii="Times New Roman" w:hAnsi="Times New Roman" w:cs="Times New Roman"/>
          <w:sz w:val="24"/>
          <w:szCs w:val="24"/>
        </w:rPr>
        <w:t xml:space="preserve">maneuver by the State </w:t>
      </w:r>
      <w:r w:rsidR="000C2AC4" w:rsidRPr="00F33937">
        <w:rPr>
          <w:rFonts w:ascii="Times New Roman" w:hAnsi="Times New Roman" w:cs="Times New Roman"/>
          <w:sz w:val="24"/>
          <w:szCs w:val="24"/>
        </w:rPr>
        <w:t xml:space="preserve">also violates </w:t>
      </w:r>
      <w:r w:rsidR="004C28E9" w:rsidRPr="00F33937">
        <w:rPr>
          <w:rFonts w:ascii="Times New Roman" w:hAnsi="Times New Roman" w:cs="Times New Roman"/>
          <w:sz w:val="24"/>
          <w:szCs w:val="24"/>
        </w:rPr>
        <w:t xml:space="preserve">Petitioners’ </w:t>
      </w:r>
      <w:r w:rsidR="000C2AC4" w:rsidRPr="00F33937">
        <w:rPr>
          <w:rFonts w:ascii="Times New Roman" w:hAnsi="Times New Roman" w:cs="Times New Roman"/>
          <w:sz w:val="24"/>
          <w:szCs w:val="24"/>
        </w:rPr>
        <w:t>right of association</w:t>
      </w:r>
      <w:r w:rsidR="00F42007" w:rsidRPr="00F33937">
        <w:rPr>
          <w:rFonts w:ascii="Times New Roman" w:hAnsi="Times New Roman" w:cs="Times New Roman"/>
          <w:sz w:val="24"/>
          <w:szCs w:val="24"/>
        </w:rPr>
        <w:t>,</w:t>
      </w:r>
      <w:r w:rsidR="004C28E9" w:rsidRPr="00F33937">
        <w:rPr>
          <w:rStyle w:val="FootnoteReference"/>
          <w:rFonts w:ascii="Times New Roman" w:hAnsi="Times New Roman" w:cs="Times New Roman"/>
          <w:sz w:val="24"/>
          <w:szCs w:val="24"/>
        </w:rPr>
        <w:footnoteReference w:id="59"/>
      </w:r>
      <w:r w:rsidR="00F42007" w:rsidRPr="00F33937">
        <w:rPr>
          <w:rFonts w:ascii="Times New Roman" w:hAnsi="Times New Roman" w:cs="Times New Roman"/>
          <w:sz w:val="24"/>
          <w:szCs w:val="24"/>
        </w:rPr>
        <w:t xml:space="preserve"> specifically regarding Mr. Claudio Ancho.</w:t>
      </w:r>
      <w:r w:rsidR="004C28E9" w:rsidRPr="00F33937">
        <w:rPr>
          <w:rFonts w:ascii="Times New Roman" w:hAnsi="Times New Roman" w:cs="Times New Roman"/>
          <w:sz w:val="24"/>
          <w:szCs w:val="24"/>
        </w:rPr>
        <w:t>)</w:t>
      </w:r>
      <w:r w:rsidR="000C2AC4" w:rsidRPr="00F33937">
        <w:rPr>
          <w:rFonts w:ascii="Times New Roman" w:hAnsi="Times New Roman" w:cs="Times New Roman"/>
          <w:sz w:val="24"/>
          <w:szCs w:val="24"/>
        </w:rPr>
        <w:t xml:space="preserve">  </w:t>
      </w:r>
      <w:r w:rsidR="003D0938" w:rsidRPr="00F33937">
        <w:rPr>
          <w:rFonts w:ascii="Times New Roman" w:hAnsi="Times New Roman" w:cs="Times New Roman"/>
          <w:sz w:val="24"/>
          <w:szCs w:val="24"/>
        </w:rPr>
        <w:t xml:space="preserve">Furthermore, the Inter-American Court of Human Rights categorized in </w:t>
      </w:r>
      <w:r w:rsidR="003D0938" w:rsidRPr="00F33937">
        <w:rPr>
          <w:rFonts w:ascii="Times New Roman" w:hAnsi="Times New Roman" w:cs="Times New Roman"/>
          <w:i/>
          <w:sz w:val="24"/>
          <w:szCs w:val="24"/>
        </w:rPr>
        <w:t>B</w:t>
      </w:r>
      <w:r w:rsidR="00036C89">
        <w:rPr>
          <w:rFonts w:ascii="Times New Roman" w:hAnsi="Times New Roman" w:cs="Times New Roman"/>
          <w:i/>
          <w:sz w:val="24"/>
          <w:szCs w:val="24"/>
        </w:rPr>
        <w:t>á</w:t>
      </w:r>
      <w:r w:rsidR="003D0938" w:rsidRPr="00F33937">
        <w:rPr>
          <w:rFonts w:ascii="Times New Roman" w:hAnsi="Times New Roman" w:cs="Times New Roman"/>
          <w:i/>
          <w:sz w:val="24"/>
          <w:szCs w:val="24"/>
        </w:rPr>
        <w:t>maca-Vel</w:t>
      </w:r>
      <w:r w:rsidR="00036C89">
        <w:rPr>
          <w:rFonts w:ascii="Times New Roman" w:hAnsi="Times New Roman" w:cs="Times New Roman"/>
          <w:i/>
          <w:sz w:val="24"/>
          <w:szCs w:val="24"/>
        </w:rPr>
        <w:t>á</w:t>
      </w:r>
      <w:r w:rsidR="003D0938" w:rsidRPr="00F33937">
        <w:rPr>
          <w:rFonts w:ascii="Times New Roman" w:hAnsi="Times New Roman" w:cs="Times New Roman"/>
          <w:i/>
          <w:sz w:val="24"/>
          <w:szCs w:val="24"/>
        </w:rPr>
        <w:t>squez v. Guatemala</w:t>
      </w:r>
      <w:r w:rsidR="003D0938" w:rsidRPr="00F33937">
        <w:rPr>
          <w:rFonts w:ascii="Times New Roman" w:hAnsi="Times New Roman" w:cs="Times New Roman"/>
          <w:sz w:val="24"/>
          <w:szCs w:val="24"/>
        </w:rPr>
        <w:t xml:space="preserve"> (2000) “the inju</w:t>
      </w:r>
      <w:r w:rsidR="002B595A" w:rsidRPr="00F33937">
        <w:rPr>
          <w:rFonts w:ascii="Times New Roman" w:hAnsi="Times New Roman" w:cs="Times New Roman"/>
          <w:sz w:val="24"/>
          <w:szCs w:val="24"/>
        </w:rPr>
        <w:t>red parties</w:t>
      </w:r>
      <w:r w:rsidR="003D0938" w:rsidRPr="00F33937">
        <w:rPr>
          <w:rFonts w:ascii="Times New Roman" w:hAnsi="Times New Roman" w:cs="Times New Roman"/>
          <w:sz w:val="24"/>
          <w:szCs w:val="24"/>
        </w:rPr>
        <w:t xml:space="preserve"> pursuant to Article 63(1)</w:t>
      </w:r>
      <w:r w:rsidR="00CD5BEF" w:rsidRPr="00F33937">
        <w:rPr>
          <w:rStyle w:val="FootnoteReference"/>
          <w:rFonts w:ascii="Times New Roman" w:hAnsi="Times New Roman" w:cs="Times New Roman"/>
          <w:sz w:val="24"/>
          <w:szCs w:val="24"/>
        </w:rPr>
        <w:footnoteReference w:id="60"/>
      </w:r>
      <w:r w:rsidR="003D0938" w:rsidRPr="00F33937">
        <w:rPr>
          <w:rFonts w:ascii="Times New Roman" w:hAnsi="Times New Roman" w:cs="Times New Roman"/>
          <w:sz w:val="24"/>
          <w:szCs w:val="24"/>
        </w:rPr>
        <w:t xml:space="preserve"> of the American Convention on Human Rights” to include next-of-kin of the directly-injured partie</w:t>
      </w:r>
      <w:r w:rsidR="002B595A" w:rsidRPr="00F33937">
        <w:rPr>
          <w:rFonts w:ascii="Times New Roman" w:hAnsi="Times New Roman" w:cs="Times New Roman"/>
          <w:sz w:val="24"/>
          <w:szCs w:val="24"/>
        </w:rPr>
        <w:t>s.  In that cas</w:t>
      </w:r>
      <w:r w:rsidR="00512E72">
        <w:rPr>
          <w:rFonts w:ascii="Times New Roman" w:hAnsi="Times New Roman" w:cs="Times New Roman"/>
          <w:sz w:val="24"/>
          <w:szCs w:val="24"/>
        </w:rPr>
        <w:t>e, the Court determined that challenges to the</w:t>
      </w:r>
      <w:r w:rsidR="002B595A" w:rsidRPr="00F33937">
        <w:rPr>
          <w:rFonts w:ascii="Times New Roman" w:hAnsi="Times New Roman" w:cs="Times New Roman"/>
          <w:sz w:val="24"/>
          <w:szCs w:val="24"/>
        </w:rPr>
        <w:t xml:space="preserve"> mental and moral integrities</w:t>
      </w:r>
      <w:r w:rsidR="003128C0" w:rsidRPr="00F33937">
        <w:rPr>
          <w:rStyle w:val="FootnoteReference"/>
          <w:rFonts w:ascii="Times New Roman" w:hAnsi="Times New Roman" w:cs="Times New Roman"/>
          <w:sz w:val="24"/>
          <w:szCs w:val="24"/>
        </w:rPr>
        <w:footnoteReference w:id="61"/>
      </w:r>
      <w:r w:rsidR="002B595A" w:rsidRPr="00F33937">
        <w:rPr>
          <w:rFonts w:ascii="Times New Roman" w:hAnsi="Times New Roman" w:cs="Times New Roman"/>
          <w:sz w:val="24"/>
          <w:szCs w:val="24"/>
        </w:rPr>
        <w:t xml:space="preserve"> of Efraín B</w:t>
      </w:r>
      <w:r w:rsidR="00512E72">
        <w:rPr>
          <w:rFonts w:ascii="Times New Roman" w:hAnsi="Times New Roman" w:cs="Times New Roman"/>
          <w:sz w:val="24"/>
          <w:szCs w:val="24"/>
        </w:rPr>
        <w:t>á</w:t>
      </w:r>
      <w:r w:rsidR="002B595A" w:rsidRPr="00F33937">
        <w:rPr>
          <w:rFonts w:ascii="Times New Roman" w:hAnsi="Times New Roman" w:cs="Times New Roman"/>
          <w:sz w:val="24"/>
          <w:szCs w:val="24"/>
        </w:rPr>
        <w:t>maca Velásquez</w:t>
      </w:r>
      <w:r w:rsidR="00512E72">
        <w:rPr>
          <w:rFonts w:ascii="Times New Roman" w:hAnsi="Times New Roman" w:cs="Times New Roman"/>
          <w:sz w:val="24"/>
          <w:szCs w:val="24"/>
        </w:rPr>
        <w:t>, the directly-injured party,</w:t>
      </w:r>
      <w:r w:rsidR="002B595A" w:rsidRPr="00F33937">
        <w:rPr>
          <w:rFonts w:ascii="Times New Roman" w:hAnsi="Times New Roman" w:cs="Times New Roman"/>
          <w:sz w:val="24"/>
          <w:szCs w:val="24"/>
        </w:rPr>
        <w:t xml:space="preserve"> and</w:t>
      </w:r>
      <w:r w:rsidR="00512E72">
        <w:rPr>
          <w:rFonts w:ascii="Times New Roman" w:hAnsi="Times New Roman" w:cs="Times New Roman"/>
          <w:sz w:val="24"/>
          <w:szCs w:val="24"/>
        </w:rPr>
        <w:t xml:space="preserve"> to</w:t>
      </w:r>
      <w:r w:rsidR="002B595A" w:rsidRPr="00F33937">
        <w:rPr>
          <w:rFonts w:ascii="Times New Roman" w:hAnsi="Times New Roman" w:cs="Times New Roman"/>
          <w:sz w:val="24"/>
          <w:szCs w:val="24"/>
        </w:rPr>
        <w:t xml:space="preserve"> his entire family categorized the group as victims, and were therefore “entitled to the reparations decided by the Court . . . .”</w:t>
      </w:r>
      <w:r w:rsidR="002B595A" w:rsidRPr="00F33937">
        <w:rPr>
          <w:rStyle w:val="FootnoteReference"/>
          <w:rFonts w:ascii="Times New Roman" w:hAnsi="Times New Roman" w:cs="Times New Roman"/>
          <w:sz w:val="24"/>
          <w:szCs w:val="24"/>
        </w:rPr>
        <w:footnoteReference w:id="62"/>
      </w:r>
      <w:r w:rsidR="002B595A" w:rsidRPr="00F33937">
        <w:rPr>
          <w:rFonts w:ascii="Times New Roman" w:hAnsi="Times New Roman" w:cs="Times New Roman"/>
          <w:sz w:val="24"/>
          <w:szCs w:val="24"/>
        </w:rPr>
        <w:t xml:space="preserve"> </w:t>
      </w:r>
      <w:r w:rsidR="003D0938" w:rsidRPr="00F33937">
        <w:rPr>
          <w:rFonts w:ascii="Times New Roman" w:hAnsi="Times New Roman" w:cs="Times New Roman"/>
          <w:sz w:val="24"/>
          <w:szCs w:val="24"/>
        </w:rPr>
        <w:t xml:space="preserve"> </w:t>
      </w:r>
      <w:r w:rsidR="00512E72">
        <w:rPr>
          <w:rFonts w:ascii="Times New Roman" w:hAnsi="Times New Roman" w:cs="Times New Roman"/>
          <w:sz w:val="24"/>
          <w:szCs w:val="24"/>
        </w:rPr>
        <w:t>For the instant case, by</w:t>
      </w:r>
      <w:r w:rsidR="00500279" w:rsidRPr="00F33937">
        <w:rPr>
          <w:rFonts w:ascii="Times New Roman" w:hAnsi="Times New Roman" w:cs="Times New Roman"/>
          <w:sz w:val="24"/>
          <w:szCs w:val="24"/>
        </w:rPr>
        <w:t xml:space="preserve"> </w:t>
      </w:r>
      <w:r w:rsidR="000C2AC4" w:rsidRPr="00F33937">
        <w:rPr>
          <w:rFonts w:ascii="Times New Roman" w:hAnsi="Times New Roman" w:cs="Times New Roman"/>
          <w:sz w:val="24"/>
          <w:szCs w:val="24"/>
        </w:rPr>
        <w:t xml:space="preserve">granting monies to the Guajillo family while </w:t>
      </w:r>
      <w:r w:rsidR="00500279" w:rsidRPr="00F33937">
        <w:rPr>
          <w:rFonts w:ascii="Times New Roman" w:hAnsi="Times New Roman" w:cs="Times New Roman"/>
          <w:sz w:val="24"/>
          <w:szCs w:val="24"/>
        </w:rPr>
        <w:t>withholding damages of equal value to the Ancho and Poblano families</w:t>
      </w:r>
      <w:r w:rsidR="00331C01" w:rsidRPr="00F33937">
        <w:rPr>
          <w:rFonts w:ascii="Times New Roman" w:hAnsi="Times New Roman" w:cs="Times New Roman"/>
          <w:sz w:val="24"/>
          <w:szCs w:val="24"/>
        </w:rPr>
        <w:t>,</w:t>
      </w:r>
      <w:r w:rsidR="00725D32" w:rsidRPr="00F33937">
        <w:rPr>
          <w:rFonts w:ascii="Times New Roman" w:hAnsi="Times New Roman" w:cs="Times New Roman"/>
          <w:sz w:val="24"/>
          <w:szCs w:val="24"/>
        </w:rPr>
        <w:t xml:space="preserve"> </w:t>
      </w:r>
      <w:r w:rsidR="00725D32" w:rsidRPr="00F33937">
        <w:rPr>
          <w:rFonts w:ascii="Times New Roman" w:hAnsi="Times New Roman" w:cs="Times New Roman"/>
          <w:sz w:val="24"/>
          <w:szCs w:val="24"/>
        </w:rPr>
        <w:lastRenderedPageBreak/>
        <w:t xml:space="preserve">the State </w:t>
      </w:r>
      <w:r w:rsidR="00500279" w:rsidRPr="00F33937">
        <w:rPr>
          <w:rFonts w:ascii="Times New Roman" w:hAnsi="Times New Roman" w:cs="Times New Roman"/>
          <w:sz w:val="24"/>
          <w:szCs w:val="24"/>
        </w:rPr>
        <w:t>violated</w:t>
      </w:r>
      <w:r w:rsidR="00E426CF" w:rsidRPr="00F33937">
        <w:rPr>
          <w:rFonts w:ascii="Times New Roman" w:hAnsi="Times New Roman" w:cs="Times New Roman"/>
          <w:sz w:val="24"/>
          <w:szCs w:val="24"/>
        </w:rPr>
        <w:t xml:space="preserve"> ACHR Article 5</w:t>
      </w:r>
      <w:r w:rsidR="00500279" w:rsidRPr="00F33937">
        <w:rPr>
          <w:rFonts w:ascii="Times New Roman" w:hAnsi="Times New Roman" w:cs="Times New Roman"/>
          <w:sz w:val="24"/>
          <w:szCs w:val="24"/>
        </w:rPr>
        <w:t xml:space="preserve"> Right to Humane Treatment, </w:t>
      </w:r>
      <w:r w:rsidR="00846731" w:rsidRPr="00F33937">
        <w:rPr>
          <w:rFonts w:ascii="Times New Roman" w:hAnsi="Times New Roman" w:cs="Times New Roman"/>
          <w:sz w:val="24"/>
          <w:szCs w:val="24"/>
        </w:rPr>
        <w:t xml:space="preserve">by </w:t>
      </w:r>
      <w:r w:rsidR="00E426CF" w:rsidRPr="00F33937">
        <w:rPr>
          <w:rFonts w:ascii="Times New Roman" w:hAnsi="Times New Roman" w:cs="Times New Roman"/>
          <w:sz w:val="24"/>
          <w:szCs w:val="24"/>
        </w:rPr>
        <w:t>extending puni</w:t>
      </w:r>
      <w:r w:rsidR="00810283" w:rsidRPr="00F33937">
        <w:rPr>
          <w:rFonts w:ascii="Times New Roman" w:hAnsi="Times New Roman" w:cs="Times New Roman"/>
          <w:sz w:val="24"/>
          <w:szCs w:val="24"/>
        </w:rPr>
        <w:t>shment to persons other than its</w:t>
      </w:r>
      <w:r w:rsidR="00E426CF" w:rsidRPr="00F33937">
        <w:rPr>
          <w:rFonts w:ascii="Times New Roman" w:hAnsi="Times New Roman" w:cs="Times New Roman"/>
          <w:sz w:val="24"/>
          <w:szCs w:val="24"/>
        </w:rPr>
        <w:t xml:space="preserve"> </w:t>
      </w:r>
      <w:r w:rsidR="00552C5E" w:rsidRPr="00F33937">
        <w:rPr>
          <w:rFonts w:ascii="Times New Roman" w:hAnsi="Times New Roman" w:cs="Times New Roman"/>
          <w:sz w:val="24"/>
          <w:szCs w:val="24"/>
        </w:rPr>
        <w:t xml:space="preserve">previously-convicted </w:t>
      </w:r>
      <w:r w:rsidR="00E426CF" w:rsidRPr="00F33937">
        <w:rPr>
          <w:rFonts w:ascii="Times New Roman" w:hAnsi="Times New Roman" w:cs="Times New Roman"/>
          <w:sz w:val="24"/>
          <w:szCs w:val="24"/>
        </w:rPr>
        <w:t>criminal</w:t>
      </w:r>
      <w:r w:rsidR="00552C5E" w:rsidRPr="00F33937">
        <w:rPr>
          <w:rFonts w:ascii="Times New Roman" w:hAnsi="Times New Roman" w:cs="Times New Roman"/>
          <w:sz w:val="24"/>
          <w:szCs w:val="24"/>
        </w:rPr>
        <w:t>s</w:t>
      </w:r>
      <w:r w:rsidR="00E426CF" w:rsidRPr="00F33937">
        <w:rPr>
          <w:rFonts w:ascii="Times New Roman" w:hAnsi="Times New Roman" w:cs="Times New Roman"/>
          <w:sz w:val="24"/>
          <w:szCs w:val="24"/>
        </w:rPr>
        <w:t>.</w:t>
      </w:r>
      <w:r w:rsidR="005E2A4D" w:rsidRPr="00F33937">
        <w:rPr>
          <w:rStyle w:val="FootnoteReference"/>
          <w:rFonts w:ascii="Times New Roman" w:hAnsi="Times New Roman" w:cs="Times New Roman"/>
          <w:sz w:val="24"/>
          <w:szCs w:val="24"/>
        </w:rPr>
        <w:footnoteReference w:id="63"/>
      </w:r>
      <w:r w:rsidR="002D1E7A" w:rsidRPr="00F33937">
        <w:rPr>
          <w:rFonts w:ascii="Times New Roman" w:hAnsi="Times New Roman" w:cs="Times New Roman"/>
          <w:sz w:val="24"/>
          <w:szCs w:val="24"/>
        </w:rPr>
        <w:t xml:space="preserve"> </w:t>
      </w:r>
      <w:r w:rsidR="00291C7A" w:rsidRPr="00F33937">
        <w:rPr>
          <w:rFonts w:ascii="Times New Roman" w:hAnsi="Times New Roman" w:cs="Times New Roman"/>
          <w:sz w:val="24"/>
          <w:szCs w:val="24"/>
        </w:rPr>
        <w:t xml:space="preserve">  </w:t>
      </w:r>
      <w:r w:rsidR="008F2CA2" w:rsidRPr="00F33937">
        <w:rPr>
          <w:rFonts w:ascii="Times New Roman" w:hAnsi="Times New Roman" w:cs="Times New Roman"/>
          <w:sz w:val="24"/>
          <w:szCs w:val="24"/>
        </w:rPr>
        <w:t xml:space="preserve">  </w:t>
      </w:r>
      <w:r w:rsidR="00BD642A" w:rsidRPr="00F33937">
        <w:rPr>
          <w:rFonts w:ascii="Times New Roman" w:hAnsi="Times New Roman" w:cs="Times New Roman"/>
          <w:sz w:val="24"/>
          <w:szCs w:val="24"/>
        </w:rPr>
        <w:t xml:space="preserve"> </w:t>
      </w:r>
      <w:r w:rsidR="002D0E48" w:rsidRPr="00F33937">
        <w:rPr>
          <w:rFonts w:ascii="Times New Roman" w:hAnsi="Times New Roman" w:cs="Times New Roman"/>
          <w:sz w:val="24"/>
          <w:szCs w:val="24"/>
        </w:rPr>
        <w:t xml:space="preserve"> </w:t>
      </w:r>
    </w:p>
    <w:p w14:paraId="66A0D341" w14:textId="77777777" w:rsidR="00551FC4" w:rsidRPr="00F33937" w:rsidRDefault="00551FC4" w:rsidP="0055118C">
      <w:pPr>
        <w:spacing w:line="480" w:lineRule="auto"/>
        <w:contextualSpacing/>
        <w:rPr>
          <w:rFonts w:ascii="Times New Roman" w:hAnsi="Times New Roman" w:cs="Times New Roman"/>
          <w:sz w:val="24"/>
          <w:szCs w:val="24"/>
        </w:rPr>
      </w:pPr>
    </w:p>
    <w:p w14:paraId="6D931A52" w14:textId="5A38277D" w:rsidR="0055118C" w:rsidRPr="00F33937" w:rsidRDefault="00AF6C89" w:rsidP="0055118C">
      <w:pPr>
        <w:spacing w:line="480" w:lineRule="auto"/>
        <w:contextualSpacing/>
        <w:rPr>
          <w:rFonts w:ascii="Times New Roman" w:hAnsi="Times New Roman" w:cs="Times New Roman"/>
          <w:sz w:val="24"/>
          <w:szCs w:val="24"/>
          <w:u w:val="single"/>
        </w:rPr>
      </w:pPr>
      <w:r w:rsidRPr="00F33937">
        <w:rPr>
          <w:rFonts w:ascii="Times New Roman" w:hAnsi="Times New Roman" w:cs="Times New Roman"/>
          <w:b/>
          <w:i/>
          <w:sz w:val="24"/>
          <w:szCs w:val="24"/>
        </w:rPr>
        <w:t>3</w:t>
      </w:r>
      <w:r w:rsidR="00A313EF" w:rsidRPr="00F33937">
        <w:rPr>
          <w:rFonts w:ascii="Times New Roman" w:hAnsi="Times New Roman" w:cs="Times New Roman"/>
          <w:b/>
          <w:i/>
          <w:sz w:val="24"/>
          <w:szCs w:val="24"/>
        </w:rPr>
        <w:t>.2</w:t>
      </w:r>
      <w:r w:rsidR="0055118C" w:rsidRPr="00F33937">
        <w:rPr>
          <w:rFonts w:ascii="Times New Roman" w:hAnsi="Times New Roman" w:cs="Times New Roman"/>
          <w:b/>
          <w:i/>
          <w:sz w:val="24"/>
          <w:szCs w:val="24"/>
        </w:rPr>
        <w:t xml:space="preserve"> – RIGHT TO PERSONAL LIBERTY</w:t>
      </w:r>
      <w:r w:rsidR="008D35C1" w:rsidRPr="00F33937">
        <w:rPr>
          <w:rFonts w:ascii="Times New Roman" w:hAnsi="Times New Roman" w:cs="Times New Roman"/>
          <w:b/>
          <w:i/>
          <w:sz w:val="24"/>
          <w:szCs w:val="24"/>
        </w:rPr>
        <w:t xml:space="preserve"> </w:t>
      </w:r>
    </w:p>
    <w:p w14:paraId="3F65A956" w14:textId="7719F488" w:rsidR="0055118C" w:rsidRPr="00F33937" w:rsidRDefault="007842A1" w:rsidP="0055118C">
      <w:pPr>
        <w:spacing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 xml:space="preserve">Via Environmental Risk, the State Interfered with </w:t>
      </w:r>
      <w:r w:rsidR="0079789A" w:rsidRPr="00F33937">
        <w:rPr>
          <w:rFonts w:ascii="Times New Roman" w:hAnsi="Times New Roman" w:cs="Times New Roman"/>
          <w:b/>
          <w:i/>
          <w:sz w:val="24"/>
          <w:szCs w:val="24"/>
        </w:rPr>
        <w:t xml:space="preserve">Families’ </w:t>
      </w:r>
      <w:r w:rsidR="00453115" w:rsidRPr="00F33937">
        <w:rPr>
          <w:rFonts w:ascii="Times New Roman" w:hAnsi="Times New Roman" w:cs="Times New Roman"/>
          <w:b/>
          <w:i/>
          <w:sz w:val="24"/>
          <w:szCs w:val="24"/>
        </w:rPr>
        <w:t xml:space="preserve">Liberty and Security </w:t>
      </w:r>
    </w:p>
    <w:p w14:paraId="283F7C7A" w14:textId="4173B070" w:rsidR="00453115" w:rsidRPr="00F33937" w:rsidRDefault="004422DC" w:rsidP="0045311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3804BF" w:rsidRPr="00F33937">
        <w:rPr>
          <w:rFonts w:ascii="Times New Roman" w:hAnsi="Times New Roman" w:cs="Times New Roman"/>
          <w:sz w:val="24"/>
          <w:szCs w:val="24"/>
        </w:rPr>
        <w:t>Article 7</w:t>
      </w:r>
      <w:r w:rsidR="003804BF" w:rsidRPr="00F33937">
        <w:rPr>
          <w:rFonts w:ascii="Times New Roman" w:hAnsi="Times New Roman" w:cs="Times New Roman"/>
          <w:b/>
          <w:sz w:val="24"/>
          <w:szCs w:val="24"/>
        </w:rPr>
        <w:t xml:space="preserve"> </w:t>
      </w:r>
      <w:r w:rsidRPr="00F33937">
        <w:rPr>
          <w:rFonts w:ascii="Times New Roman" w:hAnsi="Times New Roman" w:cs="Times New Roman"/>
          <w:sz w:val="24"/>
          <w:szCs w:val="24"/>
        </w:rPr>
        <w:t>of the American Convention on Human Rights states, “Every person has the right to personal liberty and security.”</w:t>
      </w:r>
      <w:r w:rsidRPr="00F33937">
        <w:rPr>
          <w:rStyle w:val="FootnoteReference"/>
          <w:rFonts w:ascii="Times New Roman" w:hAnsi="Times New Roman" w:cs="Times New Roman"/>
          <w:sz w:val="24"/>
          <w:szCs w:val="24"/>
        </w:rPr>
        <w:footnoteReference w:id="64"/>
      </w:r>
      <w:r w:rsidR="00453115" w:rsidRPr="00F33937">
        <w:rPr>
          <w:rFonts w:ascii="Times New Roman" w:hAnsi="Times New Roman" w:cs="Times New Roman"/>
          <w:sz w:val="24"/>
          <w:szCs w:val="24"/>
        </w:rPr>
        <w:t xml:space="preserve"> When read in conjunction with Article 1.1 of the Convention and with Article 19 of the OAS Declaration on the Rights of Indigenous Peoples,</w:t>
      </w:r>
      <w:r w:rsidR="00E80868">
        <w:rPr>
          <w:rStyle w:val="FootnoteReference"/>
          <w:rFonts w:ascii="Times New Roman" w:hAnsi="Times New Roman" w:cs="Times New Roman"/>
          <w:sz w:val="24"/>
          <w:szCs w:val="24"/>
        </w:rPr>
        <w:footnoteReference w:id="65"/>
      </w:r>
      <w:r w:rsidR="00453115" w:rsidRPr="00F33937">
        <w:rPr>
          <w:rFonts w:ascii="Times New Roman" w:hAnsi="Times New Roman" w:cs="Times New Roman"/>
          <w:sz w:val="24"/>
          <w:szCs w:val="24"/>
        </w:rPr>
        <w:t xml:space="preserve"> it </w:t>
      </w:r>
      <w:r w:rsidR="0059217B" w:rsidRPr="00F33937">
        <w:rPr>
          <w:rFonts w:ascii="Times New Roman" w:hAnsi="Times New Roman" w:cs="Times New Roman"/>
          <w:sz w:val="24"/>
          <w:szCs w:val="24"/>
        </w:rPr>
        <w:t>is clear that</w:t>
      </w:r>
      <w:r w:rsidR="00512E72">
        <w:rPr>
          <w:rFonts w:ascii="Times New Roman" w:hAnsi="Times New Roman" w:cs="Times New Roman"/>
          <w:sz w:val="24"/>
          <w:szCs w:val="24"/>
        </w:rPr>
        <w:t>, when bombing their home</w:t>
      </w:r>
      <w:r w:rsidR="00453115" w:rsidRPr="00F33937">
        <w:rPr>
          <w:rFonts w:ascii="Times New Roman" w:hAnsi="Times New Roman" w:cs="Times New Roman"/>
          <w:sz w:val="24"/>
          <w:szCs w:val="24"/>
        </w:rPr>
        <w:t xml:space="preserve"> village </w:t>
      </w:r>
      <w:r w:rsidR="00512E72">
        <w:rPr>
          <w:rFonts w:ascii="Times New Roman" w:hAnsi="Times New Roman" w:cs="Times New Roman"/>
          <w:sz w:val="24"/>
          <w:szCs w:val="24"/>
        </w:rPr>
        <w:t xml:space="preserve">located </w:t>
      </w:r>
      <w:r w:rsidR="00453115" w:rsidRPr="00F33937">
        <w:rPr>
          <w:rFonts w:ascii="Times New Roman" w:hAnsi="Times New Roman" w:cs="Times New Roman"/>
          <w:sz w:val="24"/>
          <w:szCs w:val="24"/>
        </w:rPr>
        <w:t>approximately 5 miles downriver from a munitions plant,</w:t>
      </w:r>
      <w:r w:rsidR="00453115" w:rsidRPr="00F33937">
        <w:rPr>
          <w:rStyle w:val="FootnoteReference"/>
          <w:rFonts w:ascii="Times New Roman" w:hAnsi="Times New Roman" w:cs="Times New Roman"/>
          <w:sz w:val="24"/>
          <w:szCs w:val="24"/>
        </w:rPr>
        <w:footnoteReference w:id="66"/>
      </w:r>
      <w:r w:rsidR="00425516" w:rsidRPr="00F33937">
        <w:rPr>
          <w:rFonts w:ascii="Times New Roman" w:hAnsi="Times New Roman" w:cs="Times New Roman"/>
          <w:sz w:val="24"/>
          <w:szCs w:val="24"/>
        </w:rPr>
        <w:t xml:space="preserve"> the State risked</w:t>
      </w:r>
      <w:r w:rsidR="00453115" w:rsidRPr="00F33937">
        <w:rPr>
          <w:rFonts w:ascii="Times New Roman" w:hAnsi="Times New Roman" w:cs="Times New Roman"/>
          <w:sz w:val="24"/>
          <w:szCs w:val="24"/>
        </w:rPr>
        <w:t xml:space="preserve"> Petitioners’ personal liberty and security. </w:t>
      </w:r>
    </w:p>
    <w:p w14:paraId="269727A4" w14:textId="5ABAED96" w:rsidR="00453115" w:rsidRPr="00F33937" w:rsidRDefault="00453115" w:rsidP="0045311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The three petitioning families</w:t>
      </w:r>
      <w:r w:rsidR="00C34E1D" w:rsidRPr="00F33937">
        <w:rPr>
          <w:rFonts w:ascii="Times New Roman" w:hAnsi="Times New Roman" w:cs="Times New Roman"/>
          <w:sz w:val="24"/>
          <w:szCs w:val="24"/>
        </w:rPr>
        <w:t xml:space="preserve"> hail from the region of the mestizojos</w:t>
      </w:r>
      <w:r w:rsidR="0059217B" w:rsidRPr="00F33937">
        <w:rPr>
          <w:rFonts w:ascii="Times New Roman" w:hAnsi="Times New Roman" w:cs="Times New Roman"/>
          <w:sz w:val="24"/>
          <w:szCs w:val="24"/>
        </w:rPr>
        <w:t>, persons whose legacy enjoys indigenous identity among the</w:t>
      </w:r>
      <w:r w:rsidRPr="00F33937">
        <w:rPr>
          <w:rFonts w:ascii="Times New Roman" w:hAnsi="Times New Roman" w:cs="Times New Roman"/>
          <w:sz w:val="24"/>
          <w:szCs w:val="24"/>
        </w:rPr>
        <w:t xml:space="preserve"> tribes of Western Charechia.</w:t>
      </w:r>
      <w:r w:rsidR="00274BDA" w:rsidRPr="00F33937">
        <w:rPr>
          <w:rStyle w:val="FootnoteReference"/>
          <w:rFonts w:ascii="Times New Roman" w:hAnsi="Times New Roman" w:cs="Times New Roman"/>
          <w:sz w:val="24"/>
          <w:szCs w:val="24"/>
        </w:rPr>
        <w:footnoteReference w:id="67"/>
      </w:r>
      <w:r w:rsidRPr="00F33937">
        <w:rPr>
          <w:rFonts w:ascii="Times New Roman" w:hAnsi="Times New Roman" w:cs="Times New Roman"/>
          <w:sz w:val="24"/>
          <w:szCs w:val="24"/>
        </w:rPr>
        <w:t xml:space="preserve"> </w:t>
      </w:r>
      <w:r w:rsidR="00177AC1" w:rsidRPr="00F33937">
        <w:rPr>
          <w:rFonts w:ascii="Times New Roman" w:hAnsi="Times New Roman" w:cs="Times New Roman"/>
          <w:sz w:val="24"/>
          <w:szCs w:val="24"/>
        </w:rPr>
        <w:t xml:space="preserve"> </w:t>
      </w:r>
      <w:r w:rsidRPr="00F33937">
        <w:rPr>
          <w:rFonts w:ascii="Times New Roman" w:hAnsi="Times New Roman" w:cs="Times New Roman"/>
          <w:sz w:val="24"/>
          <w:szCs w:val="24"/>
        </w:rPr>
        <w:t xml:space="preserve">Indigenous persons, as </w:t>
      </w:r>
      <w:r w:rsidR="00DF2DCA" w:rsidRPr="00F33937">
        <w:rPr>
          <w:rFonts w:ascii="Times New Roman" w:hAnsi="Times New Roman" w:cs="Times New Roman"/>
          <w:sz w:val="24"/>
          <w:szCs w:val="24"/>
        </w:rPr>
        <w:t xml:space="preserve">the </w:t>
      </w:r>
      <w:r w:rsidR="0059217B" w:rsidRPr="00F33937">
        <w:rPr>
          <w:rFonts w:ascii="Times New Roman" w:hAnsi="Times New Roman" w:cs="Times New Roman"/>
          <w:sz w:val="24"/>
          <w:szCs w:val="24"/>
        </w:rPr>
        <w:t xml:space="preserve">Declaration on </w:t>
      </w:r>
      <w:r w:rsidRPr="00F33937">
        <w:rPr>
          <w:rFonts w:ascii="Times New Roman" w:hAnsi="Times New Roman" w:cs="Times New Roman"/>
          <w:sz w:val="24"/>
          <w:szCs w:val="24"/>
        </w:rPr>
        <w:t>the Rights of Indigenous Peoples asserts</w:t>
      </w:r>
      <w:r w:rsidR="00274BDA" w:rsidRPr="00F33937">
        <w:rPr>
          <w:rFonts w:ascii="Times New Roman" w:hAnsi="Times New Roman" w:cs="Times New Roman"/>
          <w:sz w:val="24"/>
          <w:szCs w:val="24"/>
        </w:rPr>
        <w:t>, possess collective rights “indispensable for their existence, wellbeing and integral development as peoples.”</w:t>
      </w:r>
      <w:r w:rsidR="00274BDA" w:rsidRPr="00F33937">
        <w:rPr>
          <w:rStyle w:val="FootnoteReference"/>
          <w:rFonts w:ascii="Times New Roman" w:hAnsi="Times New Roman" w:cs="Times New Roman"/>
          <w:sz w:val="24"/>
          <w:szCs w:val="24"/>
        </w:rPr>
        <w:footnoteReference w:id="68"/>
      </w:r>
      <w:r w:rsidR="00274BDA" w:rsidRPr="00F33937">
        <w:rPr>
          <w:rFonts w:ascii="Times New Roman" w:hAnsi="Times New Roman" w:cs="Times New Roman"/>
          <w:sz w:val="24"/>
          <w:szCs w:val="24"/>
        </w:rPr>
        <w:t xml:space="preserve">  Sig</w:t>
      </w:r>
      <w:r w:rsidR="0020108B" w:rsidRPr="00F33937">
        <w:rPr>
          <w:rFonts w:ascii="Times New Roman" w:hAnsi="Times New Roman" w:cs="Times New Roman"/>
          <w:sz w:val="24"/>
          <w:szCs w:val="24"/>
        </w:rPr>
        <w:t>n</w:t>
      </w:r>
      <w:r w:rsidR="00274BDA" w:rsidRPr="00F33937">
        <w:rPr>
          <w:rFonts w:ascii="Times New Roman" w:hAnsi="Times New Roman" w:cs="Times New Roman"/>
          <w:sz w:val="24"/>
          <w:szCs w:val="24"/>
        </w:rPr>
        <w:t xml:space="preserve">atories to this instrument </w:t>
      </w:r>
      <w:r w:rsidR="00177AC1" w:rsidRPr="00F33937">
        <w:rPr>
          <w:rFonts w:ascii="Times New Roman" w:hAnsi="Times New Roman" w:cs="Times New Roman"/>
          <w:sz w:val="24"/>
          <w:szCs w:val="24"/>
        </w:rPr>
        <w:t>must</w:t>
      </w:r>
      <w:r w:rsidR="00324F4B" w:rsidRPr="00F33937">
        <w:rPr>
          <w:rFonts w:ascii="Times New Roman" w:hAnsi="Times New Roman" w:cs="Times New Roman"/>
          <w:sz w:val="24"/>
          <w:szCs w:val="24"/>
        </w:rPr>
        <w:t>, aligning with</w:t>
      </w:r>
      <w:r w:rsidR="00121F1A">
        <w:rPr>
          <w:rFonts w:ascii="Times New Roman" w:hAnsi="Times New Roman" w:cs="Times New Roman"/>
          <w:sz w:val="24"/>
          <w:szCs w:val="24"/>
        </w:rPr>
        <w:t xml:space="preserve"> this goal of</w:t>
      </w:r>
      <w:r w:rsidR="00324F4B" w:rsidRPr="00F33937">
        <w:rPr>
          <w:rFonts w:ascii="Times New Roman" w:hAnsi="Times New Roman" w:cs="Times New Roman"/>
          <w:sz w:val="24"/>
          <w:szCs w:val="24"/>
        </w:rPr>
        <w:t xml:space="preserve"> protected persons’ wellbeing,</w:t>
      </w:r>
      <w:r w:rsidR="00177AC1" w:rsidRPr="00F33937">
        <w:rPr>
          <w:rFonts w:ascii="Times New Roman" w:hAnsi="Times New Roman" w:cs="Times New Roman"/>
          <w:sz w:val="24"/>
          <w:szCs w:val="24"/>
        </w:rPr>
        <w:t xml:space="preserve"> </w:t>
      </w:r>
      <w:r w:rsidR="00274BDA" w:rsidRPr="00F33937">
        <w:rPr>
          <w:rFonts w:ascii="Times New Roman" w:hAnsi="Times New Roman" w:cs="Times New Roman"/>
          <w:sz w:val="24"/>
          <w:szCs w:val="24"/>
        </w:rPr>
        <w:t>“re</w:t>
      </w:r>
      <w:r w:rsidR="0020108B" w:rsidRPr="00F33937">
        <w:rPr>
          <w:rFonts w:ascii="Times New Roman" w:hAnsi="Times New Roman" w:cs="Times New Roman"/>
          <w:sz w:val="24"/>
          <w:szCs w:val="24"/>
        </w:rPr>
        <w:t>c</w:t>
      </w:r>
      <w:r w:rsidR="00274BDA" w:rsidRPr="00F33937">
        <w:rPr>
          <w:rFonts w:ascii="Times New Roman" w:hAnsi="Times New Roman" w:cs="Times New Roman"/>
          <w:sz w:val="24"/>
          <w:szCs w:val="24"/>
        </w:rPr>
        <w:t xml:space="preserve">ognize and respect the right of the indigenous peoples to . . . </w:t>
      </w:r>
      <w:r w:rsidRPr="00F33937">
        <w:rPr>
          <w:rFonts w:ascii="Times New Roman" w:hAnsi="Times New Roman" w:cs="Times New Roman"/>
          <w:sz w:val="24"/>
          <w:szCs w:val="24"/>
        </w:rPr>
        <w:t>their lands, territories, and resources.”</w:t>
      </w:r>
      <w:r w:rsidRPr="00F33937">
        <w:rPr>
          <w:rStyle w:val="FootnoteReference"/>
          <w:rFonts w:ascii="Times New Roman" w:hAnsi="Times New Roman" w:cs="Times New Roman"/>
          <w:sz w:val="24"/>
          <w:szCs w:val="24"/>
        </w:rPr>
        <w:footnoteReference w:id="69"/>
      </w:r>
      <w:r w:rsidRPr="00F33937">
        <w:rPr>
          <w:rFonts w:ascii="Times New Roman" w:hAnsi="Times New Roman" w:cs="Times New Roman"/>
          <w:sz w:val="24"/>
          <w:szCs w:val="24"/>
        </w:rPr>
        <w:t xml:space="preserve">  Consequently, </w:t>
      </w:r>
      <w:r w:rsidR="0020108B" w:rsidRPr="00F33937">
        <w:rPr>
          <w:rFonts w:ascii="Times New Roman" w:hAnsi="Times New Roman" w:cs="Times New Roman"/>
          <w:sz w:val="24"/>
          <w:szCs w:val="24"/>
        </w:rPr>
        <w:t>mestizojos’</w:t>
      </w:r>
      <w:r w:rsidRPr="00F33937">
        <w:rPr>
          <w:rFonts w:ascii="Times New Roman" w:hAnsi="Times New Roman" w:cs="Times New Roman"/>
          <w:sz w:val="24"/>
          <w:szCs w:val="24"/>
        </w:rPr>
        <w:t xml:space="preserve"> ancestral home is </w:t>
      </w:r>
      <w:r w:rsidR="0059217B" w:rsidRPr="00F33937">
        <w:rPr>
          <w:rFonts w:ascii="Times New Roman" w:hAnsi="Times New Roman" w:cs="Times New Roman"/>
          <w:sz w:val="24"/>
          <w:szCs w:val="24"/>
        </w:rPr>
        <w:t xml:space="preserve">to be </w:t>
      </w:r>
      <w:r w:rsidRPr="00F33937">
        <w:rPr>
          <w:rFonts w:ascii="Times New Roman" w:hAnsi="Times New Roman" w:cs="Times New Roman"/>
          <w:sz w:val="24"/>
          <w:szCs w:val="24"/>
        </w:rPr>
        <w:t>safeguarded</w:t>
      </w:r>
      <w:r w:rsidR="00177AC1" w:rsidRPr="00F33937">
        <w:rPr>
          <w:rFonts w:ascii="Times New Roman" w:hAnsi="Times New Roman" w:cs="Times New Roman"/>
          <w:sz w:val="24"/>
          <w:szCs w:val="24"/>
        </w:rPr>
        <w:t xml:space="preserve"> </w:t>
      </w:r>
      <w:r w:rsidR="0059217B" w:rsidRPr="00F33937">
        <w:rPr>
          <w:rFonts w:ascii="Times New Roman" w:hAnsi="Times New Roman" w:cs="Times New Roman"/>
          <w:sz w:val="24"/>
          <w:szCs w:val="24"/>
        </w:rPr>
        <w:t>by the Republic</w:t>
      </w:r>
      <w:r w:rsidR="00DF2DCA" w:rsidRPr="00F33937">
        <w:rPr>
          <w:rFonts w:ascii="Times New Roman" w:hAnsi="Times New Roman" w:cs="Times New Roman"/>
          <w:sz w:val="24"/>
          <w:szCs w:val="24"/>
        </w:rPr>
        <w:t>, as that nation’s</w:t>
      </w:r>
      <w:r w:rsidR="00421929" w:rsidRPr="00F33937">
        <w:rPr>
          <w:rFonts w:ascii="Times New Roman" w:hAnsi="Times New Roman" w:cs="Times New Roman"/>
          <w:sz w:val="24"/>
          <w:szCs w:val="24"/>
        </w:rPr>
        <w:t xml:space="preserve"> </w:t>
      </w:r>
      <w:r w:rsidR="0059217B" w:rsidRPr="00F33937">
        <w:rPr>
          <w:rFonts w:ascii="Times New Roman" w:hAnsi="Times New Roman" w:cs="Times New Roman"/>
          <w:sz w:val="24"/>
          <w:szCs w:val="24"/>
        </w:rPr>
        <w:t>J</w:t>
      </w:r>
      <w:r w:rsidR="00DF2DCA" w:rsidRPr="00F33937">
        <w:rPr>
          <w:rFonts w:ascii="Times New Roman" w:hAnsi="Times New Roman" w:cs="Times New Roman"/>
          <w:sz w:val="24"/>
          <w:szCs w:val="24"/>
        </w:rPr>
        <w:t>une 15</w:t>
      </w:r>
      <w:r w:rsidR="00421929" w:rsidRPr="00F33937">
        <w:rPr>
          <w:rFonts w:ascii="Times New Roman" w:hAnsi="Times New Roman" w:cs="Times New Roman"/>
          <w:sz w:val="24"/>
          <w:szCs w:val="24"/>
        </w:rPr>
        <w:t>, 2016</w:t>
      </w:r>
      <w:r w:rsidR="00DF2DCA" w:rsidRPr="00F33937">
        <w:rPr>
          <w:rFonts w:ascii="Times New Roman" w:hAnsi="Times New Roman" w:cs="Times New Roman"/>
          <w:sz w:val="24"/>
          <w:szCs w:val="24"/>
        </w:rPr>
        <w:t xml:space="preserve"> adoption affirms</w:t>
      </w:r>
      <w:r w:rsidR="0059217B" w:rsidRPr="00F33937">
        <w:rPr>
          <w:rFonts w:ascii="Times New Roman" w:hAnsi="Times New Roman" w:cs="Times New Roman"/>
          <w:sz w:val="24"/>
          <w:szCs w:val="24"/>
        </w:rPr>
        <w:t>.</w:t>
      </w:r>
      <w:r w:rsidR="0059217B" w:rsidRPr="00F33937">
        <w:rPr>
          <w:rStyle w:val="FootnoteReference"/>
          <w:rFonts w:ascii="Times New Roman" w:hAnsi="Times New Roman" w:cs="Times New Roman"/>
          <w:sz w:val="24"/>
          <w:szCs w:val="24"/>
        </w:rPr>
        <w:footnoteReference w:id="70"/>
      </w:r>
      <w:r w:rsidRPr="00F33937">
        <w:rPr>
          <w:rFonts w:ascii="Times New Roman" w:hAnsi="Times New Roman" w:cs="Times New Roman"/>
          <w:sz w:val="24"/>
          <w:szCs w:val="24"/>
        </w:rPr>
        <w:t xml:space="preserve">  </w:t>
      </w:r>
      <w:r w:rsidR="006B0142" w:rsidRPr="00F33937">
        <w:rPr>
          <w:rFonts w:ascii="Times New Roman" w:hAnsi="Times New Roman" w:cs="Times New Roman"/>
          <w:sz w:val="24"/>
          <w:szCs w:val="24"/>
        </w:rPr>
        <w:t>T</w:t>
      </w:r>
      <w:r w:rsidR="00177AC1" w:rsidRPr="00F33937">
        <w:rPr>
          <w:rFonts w:ascii="Times New Roman" w:hAnsi="Times New Roman" w:cs="Times New Roman"/>
          <w:sz w:val="24"/>
          <w:szCs w:val="24"/>
        </w:rPr>
        <w:t xml:space="preserve">his </w:t>
      </w:r>
      <w:r w:rsidR="006B0142" w:rsidRPr="00F33937">
        <w:rPr>
          <w:rFonts w:ascii="Times New Roman" w:hAnsi="Times New Roman" w:cs="Times New Roman"/>
          <w:sz w:val="24"/>
          <w:szCs w:val="24"/>
        </w:rPr>
        <w:t xml:space="preserve">document explains </w:t>
      </w:r>
      <w:r w:rsidRPr="00F33937">
        <w:rPr>
          <w:rFonts w:ascii="Times New Roman" w:hAnsi="Times New Roman" w:cs="Times New Roman"/>
          <w:sz w:val="24"/>
          <w:szCs w:val="24"/>
        </w:rPr>
        <w:t>in S</w:t>
      </w:r>
      <w:r w:rsidR="00F734A1" w:rsidRPr="00F33937">
        <w:rPr>
          <w:rFonts w:ascii="Times New Roman" w:hAnsi="Times New Roman" w:cs="Times New Roman"/>
          <w:sz w:val="24"/>
          <w:szCs w:val="24"/>
        </w:rPr>
        <w:t xml:space="preserve">ection 4 the status of </w:t>
      </w:r>
      <w:r w:rsidRPr="00F33937">
        <w:rPr>
          <w:rFonts w:ascii="Times New Roman" w:hAnsi="Times New Roman" w:cs="Times New Roman"/>
          <w:sz w:val="24"/>
          <w:szCs w:val="24"/>
        </w:rPr>
        <w:t xml:space="preserve">indigenous </w:t>
      </w:r>
      <w:r w:rsidRPr="00F33937">
        <w:rPr>
          <w:rFonts w:ascii="Times New Roman" w:hAnsi="Times New Roman" w:cs="Times New Roman"/>
          <w:sz w:val="24"/>
          <w:szCs w:val="24"/>
        </w:rPr>
        <w:lastRenderedPageBreak/>
        <w:t>peoples’</w:t>
      </w:r>
      <w:r w:rsidR="0020108B" w:rsidRPr="00F33937">
        <w:rPr>
          <w:rFonts w:ascii="Times New Roman" w:hAnsi="Times New Roman" w:cs="Times New Roman"/>
          <w:sz w:val="24"/>
          <w:szCs w:val="24"/>
        </w:rPr>
        <w:t xml:space="preserve"> natural resou</w:t>
      </w:r>
      <w:r w:rsidR="00171A94">
        <w:rPr>
          <w:rFonts w:ascii="Times New Roman" w:hAnsi="Times New Roman" w:cs="Times New Roman"/>
          <w:sz w:val="24"/>
          <w:szCs w:val="24"/>
        </w:rPr>
        <w:t xml:space="preserve">rces, for </w:t>
      </w:r>
      <w:r w:rsidR="00421929" w:rsidRPr="00F33937">
        <w:rPr>
          <w:rFonts w:ascii="Times New Roman" w:hAnsi="Times New Roman" w:cs="Times New Roman"/>
          <w:sz w:val="24"/>
          <w:szCs w:val="24"/>
        </w:rPr>
        <w:t xml:space="preserve">which </w:t>
      </w:r>
      <w:r w:rsidR="00F734A1" w:rsidRPr="00F33937">
        <w:rPr>
          <w:rFonts w:ascii="Times New Roman" w:hAnsi="Times New Roman" w:cs="Times New Roman"/>
          <w:sz w:val="24"/>
          <w:szCs w:val="24"/>
        </w:rPr>
        <w:t>those persons</w:t>
      </w:r>
      <w:r w:rsidR="0020108B" w:rsidRPr="00F33937">
        <w:rPr>
          <w:rFonts w:ascii="Times New Roman" w:hAnsi="Times New Roman" w:cs="Times New Roman"/>
          <w:sz w:val="24"/>
          <w:szCs w:val="24"/>
        </w:rPr>
        <w:t xml:space="preserve"> possess</w:t>
      </w:r>
      <w:r w:rsidRPr="00F33937">
        <w:rPr>
          <w:rFonts w:ascii="Times New Roman" w:hAnsi="Times New Roman" w:cs="Times New Roman"/>
          <w:sz w:val="24"/>
          <w:szCs w:val="24"/>
        </w:rPr>
        <w:t xml:space="preserve"> </w:t>
      </w:r>
      <w:r w:rsidR="0020108B" w:rsidRPr="00F33937">
        <w:rPr>
          <w:rFonts w:ascii="Times New Roman" w:hAnsi="Times New Roman" w:cs="Times New Roman"/>
          <w:sz w:val="24"/>
          <w:szCs w:val="24"/>
        </w:rPr>
        <w:t xml:space="preserve">the </w:t>
      </w:r>
      <w:r w:rsidR="00DF2DCA" w:rsidRPr="00F33937">
        <w:rPr>
          <w:rFonts w:ascii="Times New Roman" w:hAnsi="Times New Roman" w:cs="Times New Roman"/>
          <w:sz w:val="24"/>
          <w:szCs w:val="24"/>
        </w:rPr>
        <w:t>“</w:t>
      </w:r>
      <w:r w:rsidRPr="00F33937">
        <w:rPr>
          <w:rFonts w:ascii="Times New Roman" w:hAnsi="Times New Roman" w:cs="Times New Roman"/>
          <w:sz w:val="24"/>
          <w:szCs w:val="24"/>
        </w:rPr>
        <w:t>right to the conservation and protection of the environment</w:t>
      </w:r>
      <w:r w:rsidR="0084667A" w:rsidRPr="00F33937">
        <w:rPr>
          <w:rFonts w:ascii="Times New Roman" w:hAnsi="Times New Roman" w:cs="Times New Roman"/>
          <w:sz w:val="24"/>
          <w:szCs w:val="24"/>
        </w:rPr>
        <w:t xml:space="preserve"> .</w:t>
      </w:r>
      <w:r w:rsidR="00DF2DCA" w:rsidRPr="00F33937">
        <w:rPr>
          <w:rFonts w:ascii="Times New Roman" w:hAnsi="Times New Roman" w:cs="Times New Roman"/>
          <w:sz w:val="24"/>
          <w:szCs w:val="24"/>
        </w:rPr>
        <w:t xml:space="preserve"> . . .</w:t>
      </w:r>
      <w:r w:rsidRPr="00F33937">
        <w:rPr>
          <w:rFonts w:ascii="Times New Roman" w:hAnsi="Times New Roman" w:cs="Times New Roman"/>
          <w:sz w:val="24"/>
          <w:szCs w:val="24"/>
        </w:rPr>
        <w:t>”</w:t>
      </w:r>
      <w:r w:rsidRPr="00F33937">
        <w:rPr>
          <w:rStyle w:val="FootnoteReference"/>
          <w:rFonts w:ascii="Times New Roman" w:hAnsi="Times New Roman" w:cs="Times New Roman"/>
          <w:sz w:val="24"/>
          <w:szCs w:val="24"/>
        </w:rPr>
        <w:footnoteReference w:id="71"/>
      </w:r>
      <w:r w:rsidRPr="00F33937">
        <w:rPr>
          <w:rFonts w:ascii="Times New Roman" w:hAnsi="Times New Roman" w:cs="Times New Roman"/>
          <w:sz w:val="24"/>
          <w:szCs w:val="24"/>
        </w:rPr>
        <w:t xml:space="preserve"> </w:t>
      </w:r>
    </w:p>
    <w:p w14:paraId="61524C88" w14:textId="12CA0EC3" w:rsidR="00B53574" w:rsidRPr="00F33937" w:rsidRDefault="003B74B9" w:rsidP="0045311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Environmental protection is an international norm, especially when the livelihood</w:t>
      </w:r>
      <w:r w:rsidR="00D73B22" w:rsidRPr="00F33937">
        <w:rPr>
          <w:rFonts w:ascii="Times New Roman" w:hAnsi="Times New Roman" w:cs="Times New Roman"/>
          <w:sz w:val="24"/>
          <w:szCs w:val="24"/>
        </w:rPr>
        <w:t>s</w:t>
      </w:r>
      <w:r w:rsidR="003C4D31" w:rsidRPr="00F33937">
        <w:rPr>
          <w:rFonts w:ascii="Times New Roman" w:hAnsi="Times New Roman" w:cs="Times New Roman"/>
          <w:sz w:val="24"/>
          <w:szCs w:val="24"/>
        </w:rPr>
        <w:t xml:space="preserve"> of marginalized </w:t>
      </w:r>
      <w:r w:rsidR="00D73B22" w:rsidRPr="00F33937">
        <w:rPr>
          <w:rFonts w:ascii="Times New Roman" w:hAnsi="Times New Roman" w:cs="Times New Roman"/>
          <w:sz w:val="24"/>
          <w:szCs w:val="24"/>
        </w:rPr>
        <w:t>peoples rely</w:t>
      </w:r>
      <w:r w:rsidR="009B5FFF" w:rsidRPr="00F33937">
        <w:rPr>
          <w:rFonts w:ascii="Times New Roman" w:hAnsi="Times New Roman" w:cs="Times New Roman"/>
          <w:sz w:val="24"/>
          <w:szCs w:val="24"/>
        </w:rPr>
        <w:t xml:space="preserve"> upon that</w:t>
      </w:r>
      <w:r w:rsidRPr="00F33937">
        <w:rPr>
          <w:rFonts w:ascii="Times New Roman" w:hAnsi="Times New Roman" w:cs="Times New Roman"/>
          <w:sz w:val="24"/>
          <w:szCs w:val="24"/>
        </w:rPr>
        <w:t xml:space="preserve"> environment.  </w:t>
      </w:r>
      <w:r w:rsidR="00E76E06" w:rsidRPr="00F33937">
        <w:rPr>
          <w:rFonts w:ascii="Times New Roman" w:hAnsi="Times New Roman" w:cs="Times New Roman"/>
          <w:sz w:val="24"/>
          <w:szCs w:val="24"/>
        </w:rPr>
        <w:t>Furthermore, i</w:t>
      </w:r>
      <w:r w:rsidR="00932AE0" w:rsidRPr="00F33937">
        <w:rPr>
          <w:rFonts w:ascii="Times New Roman" w:hAnsi="Times New Roman" w:cs="Times New Roman"/>
          <w:sz w:val="24"/>
          <w:szCs w:val="24"/>
        </w:rPr>
        <w:t xml:space="preserve">n line </w:t>
      </w:r>
      <w:r w:rsidR="003C4D31" w:rsidRPr="00F33937">
        <w:rPr>
          <w:rFonts w:ascii="Times New Roman" w:hAnsi="Times New Roman" w:cs="Times New Roman"/>
          <w:sz w:val="24"/>
          <w:szCs w:val="24"/>
        </w:rPr>
        <w:t>with the Inter-American system’s approach to</w:t>
      </w:r>
      <w:r w:rsidR="00521EC1" w:rsidRPr="00F33937">
        <w:rPr>
          <w:rFonts w:ascii="Times New Roman" w:hAnsi="Times New Roman" w:cs="Times New Roman"/>
          <w:sz w:val="24"/>
          <w:szCs w:val="24"/>
        </w:rPr>
        <w:t xml:space="preserve"> healthy environment</w:t>
      </w:r>
      <w:r w:rsidR="003C4D31" w:rsidRPr="00F33937">
        <w:rPr>
          <w:rFonts w:ascii="Times New Roman" w:hAnsi="Times New Roman" w:cs="Times New Roman"/>
          <w:sz w:val="24"/>
          <w:szCs w:val="24"/>
        </w:rPr>
        <w:t xml:space="preserve"> and in conjunction with initiatives like </w:t>
      </w:r>
      <w:r w:rsidR="00932AE0" w:rsidRPr="00F33937">
        <w:rPr>
          <w:rFonts w:ascii="Times New Roman" w:hAnsi="Times New Roman" w:cs="Times New Roman"/>
          <w:sz w:val="24"/>
          <w:szCs w:val="24"/>
        </w:rPr>
        <w:t xml:space="preserve">the </w:t>
      </w:r>
      <w:r w:rsidR="00FC7E52" w:rsidRPr="00F33937">
        <w:rPr>
          <w:rFonts w:ascii="Times New Roman" w:hAnsi="Times New Roman" w:cs="Times New Roman"/>
          <w:sz w:val="24"/>
          <w:szCs w:val="24"/>
        </w:rPr>
        <w:t>Stockholm Declaration on the Human E</w:t>
      </w:r>
      <w:r w:rsidR="00932AE0" w:rsidRPr="00F33937">
        <w:rPr>
          <w:rFonts w:ascii="Times New Roman" w:hAnsi="Times New Roman" w:cs="Times New Roman"/>
          <w:sz w:val="24"/>
          <w:szCs w:val="24"/>
        </w:rPr>
        <w:t>nvironment</w:t>
      </w:r>
      <w:r w:rsidR="00E76E06" w:rsidRPr="00F33937">
        <w:rPr>
          <w:rFonts w:ascii="Times New Roman" w:hAnsi="Times New Roman" w:cs="Times New Roman"/>
          <w:sz w:val="24"/>
          <w:szCs w:val="24"/>
        </w:rPr>
        <w:t>,</w:t>
      </w:r>
      <w:r w:rsidR="00932AE0" w:rsidRPr="00F33937">
        <w:rPr>
          <w:rStyle w:val="FootnoteReference"/>
          <w:rFonts w:ascii="Times New Roman" w:hAnsi="Times New Roman" w:cs="Times New Roman"/>
          <w:sz w:val="24"/>
          <w:szCs w:val="24"/>
        </w:rPr>
        <w:footnoteReference w:id="72"/>
      </w:r>
      <w:r w:rsidR="00177AC1" w:rsidRPr="00F33937">
        <w:rPr>
          <w:rFonts w:ascii="Times New Roman" w:hAnsi="Times New Roman" w:cs="Times New Roman"/>
          <w:sz w:val="24"/>
          <w:szCs w:val="24"/>
        </w:rPr>
        <w:t xml:space="preserve"> for decades</w:t>
      </w:r>
      <w:r w:rsidR="00FC7E52" w:rsidRPr="00F33937">
        <w:rPr>
          <w:rFonts w:ascii="Times New Roman" w:hAnsi="Times New Roman" w:cs="Times New Roman"/>
          <w:sz w:val="24"/>
          <w:szCs w:val="24"/>
        </w:rPr>
        <w:t xml:space="preserve"> </w:t>
      </w:r>
      <w:r w:rsidR="00110552" w:rsidRPr="00F33937">
        <w:rPr>
          <w:rFonts w:ascii="Times New Roman" w:hAnsi="Times New Roman" w:cs="Times New Roman"/>
          <w:sz w:val="24"/>
          <w:szCs w:val="24"/>
        </w:rPr>
        <w:t>“</w:t>
      </w:r>
      <w:r w:rsidR="00FC7E52" w:rsidRPr="00F33937">
        <w:rPr>
          <w:rFonts w:ascii="Times New Roman" w:hAnsi="Times New Roman" w:cs="Times New Roman"/>
          <w:sz w:val="24"/>
          <w:szCs w:val="24"/>
        </w:rPr>
        <w:t>t</w:t>
      </w:r>
      <w:r w:rsidR="00177AC1" w:rsidRPr="00F33937">
        <w:rPr>
          <w:rFonts w:ascii="Times New Roman" w:hAnsi="Times New Roman" w:cs="Times New Roman"/>
          <w:sz w:val="24"/>
          <w:szCs w:val="24"/>
        </w:rPr>
        <w:t>here ha[ve]</w:t>
      </w:r>
      <w:r w:rsidR="00110552" w:rsidRPr="00F33937">
        <w:rPr>
          <w:rFonts w:ascii="Times New Roman" w:hAnsi="Times New Roman" w:cs="Times New Roman"/>
          <w:sz w:val="24"/>
          <w:szCs w:val="24"/>
        </w:rPr>
        <w:t xml:space="preserve"> been recognition of the fact that e</w:t>
      </w:r>
      <w:r w:rsidRPr="00F33937">
        <w:rPr>
          <w:rFonts w:ascii="Times New Roman" w:hAnsi="Times New Roman" w:cs="Times New Roman"/>
          <w:sz w:val="24"/>
          <w:szCs w:val="24"/>
        </w:rPr>
        <w:t xml:space="preserve">nvironmental harm is a violation of </w:t>
      </w:r>
      <w:r w:rsidR="00110552" w:rsidRPr="00F33937">
        <w:rPr>
          <w:rFonts w:ascii="Times New Roman" w:hAnsi="Times New Roman" w:cs="Times New Roman"/>
          <w:sz w:val="24"/>
          <w:szCs w:val="24"/>
        </w:rPr>
        <w:t>some of the</w:t>
      </w:r>
      <w:r w:rsidRPr="00F33937">
        <w:rPr>
          <w:rFonts w:ascii="Times New Roman" w:hAnsi="Times New Roman" w:cs="Times New Roman"/>
          <w:sz w:val="24"/>
          <w:szCs w:val="24"/>
        </w:rPr>
        <w:t xml:space="preserve"> established rights </w:t>
      </w:r>
      <w:r w:rsidR="00110552" w:rsidRPr="00F33937">
        <w:rPr>
          <w:rFonts w:ascii="Times New Roman" w:hAnsi="Times New Roman" w:cs="Times New Roman"/>
          <w:sz w:val="24"/>
          <w:szCs w:val="24"/>
        </w:rPr>
        <w:t>like right to life, liberty,</w:t>
      </w:r>
      <w:r w:rsidRPr="00F33937">
        <w:rPr>
          <w:rFonts w:ascii="Times New Roman" w:hAnsi="Times New Roman" w:cs="Times New Roman"/>
          <w:sz w:val="24"/>
          <w:szCs w:val="24"/>
        </w:rPr>
        <w:t xml:space="preserve"> personal security, before the Inter-American Commission on Human Rights and by the United Nations Human Rights Committee.</w:t>
      </w:r>
      <w:r w:rsidR="00FC7E52" w:rsidRPr="00F33937">
        <w:rPr>
          <w:rFonts w:ascii="Times New Roman" w:hAnsi="Times New Roman" w:cs="Times New Roman"/>
          <w:sz w:val="24"/>
          <w:szCs w:val="24"/>
        </w:rPr>
        <w:t>”</w:t>
      </w:r>
      <w:r w:rsidR="004E52BC" w:rsidRPr="00F33937">
        <w:rPr>
          <w:rStyle w:val="FootnoteReference"/>
          <w:rFonts w:ascii="Times New Roman" w:hAnsi="Times New Roman" w:cs="Times New Roman"/>
          <w:sz w:val="24"/>
          <w:szCs w:val="24"/>
        </w:rPr>
        <w:footnoteReference w:id="73"/>
      </w:r>
      <w:r w:rsidR="00E76E06" w:rsidRPr="00F33937">
        <w:rPr>
          <w:rFonts w:ascii="Times New Roman" w:hAnsi="Times New Roman" w:cs="Times New Roman"/>
          <w:sz w:val="24"/>
          <w:szCs w:val="24"/>
        </w:rPr>
        <w:t xml:space="preserve"> </w:t>
      </w:r>
      <w:r w:rsidR="00D73B22" w:rsidRPr="00F33937">
        <w:rPr>
          <w:rFonts w:ascii="Times New Roman" w:hAnsi="Times New Roman" w:cs="Times New Roman"/>
          <w:sz w:val="24"/>
          <w:szCs w:val="24"/>
        </w:rPr>
        <w:t xml:space="preserve"> </w:t>
      </w:r>
      <w:r w:rsidR="000E7086" w:rsidRPr="00F33937">
        <w:rPr>
          <w:rFonts w:ascii="Times New Roman" w:hAnsi="Times New Roman" w:cs="Times New Roman"/>
          <w:sz w:val="24"/>
          <w:szCs w:val="24"/>
        </w:rPr>
        <w:t>T</w:t>
      </w:r>
      <w:r w:rsidR="006868A3" w:rsidRPr="00F33937">
        <w:rPr>
          <w:rFonts w:ascii="Times New Roman" w:hAnsi="Times New Roman" w:cs="Times New Roman"/>
          <w:sz w:val="24"/>
          <w:szCs w:val="24"/>
        </w:rPr>
        <w:t xml:space="preserve">oward that </w:t>
      </w:r>
      <w:r w:rsidR="009353D0" w:rsidRPr="00F33937">
        <w:rPr>
          <w:rFonts w:ascii="Times New Roman" w:hAnsi="Times New Roman" w:cs="Times New Roman"/>
          <w:sz w:val="24"/>
          <w:szCs w:val="24"/>
        </w:rPr>
        <w:t xml:space="preserve">environmental </w:t>
      </w:r>
      <w:r w:rsidR="00177AC1" w:rsidRPr="00F33937">
        <w:rPr>
          <w:rFonts w:ascii="Times New Roman" w:hAnsi="Times New Roman" w:cs="Times New Roman"/>
          <w:sz w:val="24"/>
          <w:szCs w:val="24"/>
        </w:rPr>
        <w:t xml:space="preserve">preservation </w:t>
      </w:r>
      <w:r w:rsidR="006868A3" w:rsidRPr="00F33937">
        <w:rPr>
          <w:rFonts w:ascii="Times New Roman" w:hAnsi="Times New Roman" w:cs="Times New Roman"/>
          <w:sz w:val="24"/>
          <w:szCs w:val="24"/>
        </w:rPr>
        <w:t>goal</w:t>
      </w:r>
      <w:r w:rsidR="000E7086" w:rsidRPr="00F33937">
        <w:rPr>
          <w:rFonts w:ascii="Times New Roman" w:hAnsi="Times New Roman" w:cs="Times New Roman"/>
          <w:sz w:val="24"/>
          <w:szCs w:val="24"/>
        </w:rPr>
        <w:t xml:space="preserve">, </w:t>
      </w:r>
      <w:r w:rsidR="001F715C" w:rsidRPr="00F33937">
        <w:rPr>
          <w:rFonts w:ascii="Times New Roman" w:hAnsi="Times New Roman" w:cs="Times New Roman"/>
          <w:sz w:val="24"/>
          <w:szCs w:val="24"/>
        </w:rPr>
        <w:t xml:space="preserve">Section 2 of </w:t>
      </w:r>
      <w:r w:rsidR="000E7086" w:rsidRPr="00F33937">
        <w:rPr>
          <w:rFonts w:ascii="Times New Roman" w:hAnsi="Times New Roman" w:cs="Times New Roman"/>
          <w:sz w:val="24"/>
          <w:szCs w:val="24"/>
        </w:rPr>
        <w:t>the Declaration on the Rights of Indigenous Peoples also includes prohibition on “the introduction of, dispersion . . . indiscriminate use or deposit of any harmful substance that could negatively affect indigenous communities, lands, territories and resources.”</w:t>
      </w:r>
      <w:r w:rsidR="000E7086" w:rsidRPr="00F33937">
        <w:rPr>
          <w:rStyle w:val="FootnoteReference"/>
          <w:rFonts w:ascii="Times New Roman" w:hAnsi="Times New Roman" w:cs="Times New Roman"/>
          <w:sz w:val="24"/>
          <w:szCs w:val="24"/>
        </w:rPr>
        <w:footnoteReference w:id="74"/>
      </w:r>
      <w:r w:rsidR="007D0045" w:rsidRPr="00F33937">
        <w:rPr>
          <w:rFonts w:ascii="Times New Roman" w:hAnsi="Times New Roman" w:cs="Times New Roman"/>
          <w:sz w:val="24"/>
          <w:szCs w:val="24"/>
        </w:rPr>
        <w:t xml:space="preserve"> </w:t>
      </w:r>
      <w:r w:rsidR="00177AC1" w:rsidRPr="00F33937">
        <w:rPr>
          <w:rFonts w:ascii="Times New Roman" w:hAnsi="Times New Roman" w:cs="Times New Roman"/>
          <w:sz w:val="24"/>
          <w:szCs w:val="24"/>
        </w:rPr>
        <w:t xml:space="preserve"> </w:t>
      </w:r>
      <w:r w:rsidR="00EA3B2C" w:rsidRPr="00F33937">
        <w:rPr>
          <w:rFonts w:ascii="Times New Roman" w:hAnsi="Times New Roman" w:cs="Times New Roman"/>
          <w:sz w:val="24"/>
          <w:szCs w:val="24"/>
        </w:rPr>
        <w:t>T</w:t>
      </w:r>
      <w:r w:rsidR="00B53574" w:rsidRPr="00F33937">
        <w:rPr>
          <w:rFonts w:ascii="Times New Roman" w:hAnsi="Times New Roman" w:cs="Times New Roman"/>
          <w:sz w:val="24"/>
          <w:szCs w:val="24"/>
        </w:rPr>
        <w:t xml:space="preserve">he State has agreed both explicitly and under </w:t>
      </w:r>
      <w:r w:rsidR="00B53574" w:rsidRPr="00F33937">
        <w:rPr>
          <w:rFonts w:ascii="Times New Roman" w:hAnsi="Times New Roman" w:cs="Times New Roman"/>
          <w:i/>
          <w:sz w:val="24"/>
          <w:szCs w:val="24"/>
        </w:rPr>
        <w:t>jus cogens</w:t>
      </w:r>
      <w:r w:rsidR="00B53574" w:rsidRPr="00F33937">
        <w:rPr>
          <w:rFonts w:ascii="Times New Roman" w:hAnsi="Times New Roman" w:cs="Times New Roman"/>
          <w:sz w:val="24"/>
          <w:szCs w:val="24"/>
        </w:rPr>
        <w:t xml:space="preserve"> to guarantee </w:t>
      </w:r>
      <w:r w:rsidR="00471C86" w:rsidRPr="00F33937">
        <w:rPr>
          <w:rFonts w:ascii="Times New Roman" w:hAnsi="Times New Roman" w:cs="Times New Roman"/>
          <w:sz w:val="24"/>
          <w:szCs w:val="24"/>
        </w:rPr>
        <w:t xml:space="preserve">that </w:t>
      </w:r>
      <w:r w:rsidR="00B53574" w:rsidRPr="00F33937">
        <w:rPr>
          <w:rFonts w:ascii="Times New Roman" w:hAnsi="Times New Roman" w:cs="Times New Roman"/>
          <w:sz w:val="24"/>
          <w:szCs w:val="24"/>
        </w:rPr>
        <w:t>the environment of such marginalized persons remain</w:t>
      </w:r>
      <w:r w:rsidR="00471C86" w:rsidRPr="00F33937">
        <w:rPr>
          <w:rFonts w:ascii="Times New Roman" w:hAnsi="Times New Roman" w:cs="Times New Roman"/>
          <w:sz w:val="24"/>
          <w:szCs w:val="24"/>
        </w:rPr>
        <w:t>s</w:t>
      </w:r>
      <w:r w:rsidR="00B53574" w:rsidRPr="00F33937">
        <w:rPr>
          <w:rFonts w:ascii="Times New Roman" w:hAnsi="Times New Roman" w:cs="Times New Roman"/>
          <w:sz w:val="24"/>
          <w:szCs w:val="24"/>
        </w:rPr>
        <w:t xml:space="preserve"> free</w:t>
      </w:r>
      <w:r w:rsidR="00471C86" w:rsidRPr="00F33937">
        <w:rPr>
          <w:rFonts w:ascii="Times New Roman" w:hAnsi="Times New Roman" w:cs="Times New Roman"/>
          <w:sz w:val="24"/>
          <w:szCs w:val="24"/>
        </w:rPr>
        <w:t xml:space="preserve"> from unnecessary </w:t>
      </w:r>
      <w:r w:rsidR="00B53574" w:rsidRPr="00F33937">
        <w:rPr>
          <w:rFonts w:ascii="Times New Roman" w:hAnsi="Times New Roman" w:cs="Times New Roman"/>
          <w:sz w:val="24"/>
          <w:szCs w:val="24"/>
        </w:rPr>
        <w:t xml:space="preserve">damage. </w:t>
      </w:r>
    </w:p>
    <w:p w14:paraId="1A814380" w14:textId="7562F22B" w:rsidR="006454F4" w:rsidRPr="00F33937" w:rsidRDefault="00021205" w:rsidP="0045311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 xml:space="preserve">The Sarayaku of Ecuador, similar to Western Charechians, were in 2004 deemed by the Court to need protection for, </w:t>
      </w:r>
      <w:r w:rsidRPr="00F33937">
        <w:rPr>
          <w:rFonts w:ascii="Times New Roman" w:hAnsi="Times New Roman" w:cs="Times New Roman"/>
          <w:i/>
          <w:sz w:val="24"/>
          <w:szCs w:val="24"/>
        </w:rPr>
        <w:t>inter alia</w:t>
      </w:r>
      <w:r w:rsidRPr="00F33937">
        <w:rPr>
          <w:rFonts w:ascii="Times New Roman" w:hAnsi="Times New Roman" w:cs="Times New Roman"/>
          <w:sz w:val="24"/>
          <w:szCs w:val="24"/>
        </w:rPr>
        <w:t>, “the special relationship they have to their ancestral land.”</w:t>
      </w:r>
      <w:r w:rsidRPr="00F33937">
        <w:rPr>
          <w:rStyle w:val="FootnoteReference"/>
          <w:rFonts w:ascii="Times New Roman" w:hAnsi="Times New Roman" w:cs="Times New Roman"/>
          <w:sz w:val="24"/>
          <w:szCs w:val="24"/>
        </w:rPr>
        <w:footnoteReference w:id="75"/>
      </w:r>
      <w:r w:rsidRPr="00F33937">
        <w:rPr>
          <w:rFonts w:ascii="Times New Roman" w:hAnsi="Times New Roman" w:cs="Times New Roman"/>
          <w:sz w:val="24"/>
          <w:szCs w:val="24"/>
        </w:rPr>
        <w:t xml:space="preserve">  Sarayaku indigenous peoples’ environment and rights to personal security were the subject of OAS intervention, after a third party unlawfully risked </w:t>
      </w:r>
      <w:r w:rsidR="00291939" w:rsidRPr="00F33937">
        <w:rPr>
          <w:rFonts w:ascii="Times New Roman" w:hAnsi="Times New Roman" w:cs="Times New Roman"/>
          <w:sz w:val="24"/>
          <w:szCs w:val="24"/>
        </w:rPr>
        <w:t xml:space="preserve">with explosives the Sarayaku </w:t>
      </w:r>
      <w:r w:rsidRPr="00F33937">
        <w:rPr>
          <w:rFonts w:ascii="Times New Roman" w:hAnsi="Times New Roman" w:cs="Times New Roman"/>
          <w:sz w:val="24"/>
          <w:szCs w:val="24"/>
        </w:rPr>
        <w:t>environment.  “</w:t>
      </w:r>
      <w:r w:rsidRPr="00F33937">
        <w:rPr>
          <w:rFonts w:ascii="Times New Roman" w:hAnsi="Times New Roman" w:cs="Times New Roman"/>
          <w:sz w:val="24"/>
          <w:szCs w:val="24"/>
          <w:shd w:val="clear" w:color="auto" w:fill="FFFFFF"/>
        </w:rPr>
        <w:t xml:space="preserve">The Sarayaku lead a self-reliant life. They rely on local subsistence and their </w:t>
      </w:r>
      <w:r w:rsidRPr="00F33937">
        <w:rPr>
          <w:rFonts w:ascii="Times New Roman" w:hAnsi="Times New Roman" w:cs="Times New Roman"/>
          <w:sz w:val="24"/>
          <w:szCs w:val="24"/>
          <w:shd w:val="clear" w:color="auto" w:fill="FFFFFF"/>
        </w:rPr>
        <w:lastRenderedPageBreak/>
        <w:t>main sources of income are fishing, farming, [and] hunting . . . .”</w:t>
      </w:r>
      <w:r w:rsidRPr="00F33937">
        <w:rPr>
          <w:rStyle w:val="FootnoteReference"/>
          <w:rFonts w:ascii="Times New Roman" w:hAnsi="Times New Roman" w:cs="Times New Roman"/>
          <w:sz w:val="20"/>
          <w:szCs w:val="20"/>
          <w:shd w:val="clear" w:color="auto" w:fill="FFFFFF"/>
        </w:rPr>
        <w:footnoteReference w:id="76"/>
      </w:r>
      <w:r w:rsidRPr="00F33937">
        <w:rPr>
          <w:rFonts w:ascii="Times New Roman" w:hAnsi="Times New Roman" w:cs="Times New Roman"/>
          <w:sz w:val="24"/>
          <w:szCs w:val="24"/>
          <w:shd w:val="clear" w:color="auto" w:fill="FFFFFF"/>
        </w:rPr>
        <w:t xml:space="preserve">  Petitioners in that instance</w:t>
      </w:r>
      <w:r w:rsidR="00386672" w:rsidRPr="00F33937">
        <w:rPr>
          <w:rStyle w:val="FootnoteReference"/>
          <w:rFonts w:ascii="Times New Roman" w:hAnsi="Times New Roman" w:cs="Times New Roman"/>
          <w:sz w:val="24"/>
          <w:szCs w:val="24"/>
          <w:shd w:val="clear" w:color="auto" w:fill="FFFFFF"/>
        </w:rPr>
        <w:footnoteReference w:id="77"/>
      </w:r>
      <w:r w:rsidRPr="00F33937">
        <w:rPr>
          <w:rFonts w:ascii="Times New Roman" w:hAnsi="Times New Roman" w:cs="Times New Roman"/>
          <w:sz w:val="24"/>
          <w:szCs w:val="24"/>
          <w:shd w:val="clear" w:color="auto" w:fill="FFFFFF"/>
        </w:rPr>
        <w:t xml:space="preserve"> explained </w:t>
      </w:r>
      <w:r w:rsidR="00291939" w:rsidRPr="00F33937">
        <w:rPr>
          <w:rFonts w:ascii="Times New Roman" w:hAnsi="Times New Roman" w:cs="Times New Roman"/>
          <w:sz w:val="24"/>
          <w:szCs w:val="24"/>
          <w:shd w:val="clear" w:color="auto" w:fill="FFFFFF"/>
        </w:rPr>
        <w:t xml:space="preserve">to the IACHR </w:t>
      </w:r>
      <w:r w:rsidRPr="00F33937">
        <w:rPr>
          <w:rFonts w:ascii="Times New Roman" w:hAnsi="Times New Roman" w:cs="Times New Roman"/>
          <w:sz w:val="24"/>
          <w:szCs w:val="24"/>
          <w:shd w:val="clear" w:color="auto" w:fill="FFFFFF"/>
        </w:rPr>
        <w:t xml:space="preserve">that a third party’s </w:t>
      </w:r>
      <w:r w:rsidRPr="00F33937">
        <w:rPr>
          <w:rFonts w:ascii="Times New Roman" w:hAnsi="Times New Roman" w:cs="Times New Roman"/>
          <w:sz w:val="24"/>
          <w:szCs w:val="24"/>
        </w:rPr>
        <w:t>“explosives being detonated ha[d] destroyed forests, water sources, caves, underground rivers and sacred sites, and ha[d] driven animals away.”</w:t>
      </w:r>
      <w:r w:rsidRPr="00F33937">
        <w:rPr>
          <w:rStyle w:val="FootnoteReference"/>
          <w:rFonts w:ascii="Times New Roman" w:hAnsi="Times New Roman" w:cs="Times New Roman"/>
          <w:sz w:val="24"/>
          <w:szCs w:val="24"/>
        </w:rPr>
        <w:footnoteReference w:id="78"/>
      </w:r>
      <w:r w:rsidRPr="00F33937">
        <w:rPr>
          <w:rFonts w:ascii="Times New Roman" w:hAnsi="Times New Roman" w:cs="Times New Roman"/>
          <w:sz w:val="24"/>
          <w:szCs w:val="24"/>
        </w:rPr>
        <w:t xml:space="preserve">  </w:t>
      </w:r>
      <w:r w:rsidR="00503888">
        <w:rPr>
          <w:rFonts w:ascii="Times New Roman" w:hAnsi="Times New Roman" w:cs="Times New Roman"/>
          <w:sz w:val="24"/>
          <w:szCs w:val="24"/>
        </w:rPr>
        <w:t>In the instant case, t</w:t>
      </w:r>
      <w:r w:rsidR="006454F4" w:rsidRPr="00F33937">
        <w:rPr>
          <w:rFonts w:ascii="Times New Roman" w:hAnsi="Times New Roman" w:cs="Times New Roman"/>
          <w:sz w:val="24"/>
          <w:szCs w:val="24"/>
        </w:rPr>
        <w:t>he State’s actions in 2017 similarly threatened the security and environment of the petitioning families.</w:t>
      </w:r>
      <w:r w:rsidR="00291939" w:rsidRPr="00F33937">
        <w:rPr>
          <w:rFonts w:ascii="Times New Roman" w:hAnsi="Times New Roman" w:cs="Times New Roman"/>
          <w:sz w:val="24"/>
          <w:szCs w:val="24"/>
        </w:rPr>
        <w:tab/>
      </w:r>
    </w:p>
    <w:p w14:paraId="7A69A9A2" w14:textId="5E80B64B" w:rsidR="00D10BC0" w:rsidRPr="00F33937" w:rsidRDefault="006454F4" w:rsidP="0045311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021205" w:rsidRPr="00F33937">
        <w:rPr>
          <w:rFonts w:ascii="Times New Roman" w:hAnsi="Times New Roman" w:cs="Times New Roman"/>
          <w:sz w:val="24"/>
          <w:szCs w:val="24"/>
        </w:rPr>
        <w:t xml:space="preserve">The type of damage explosives risk can have far-reaching consequences for a people living off the land.  Because </w:t>
      </w:r>
      <w:r w:rsidR="00B16F2D" w:rsidRPr="00F33937">
        <w:rPr>
          <w:rFonts w:ascii="Times New Roman" w:hAnsi="Times New Roman" w:cs="Times New Roman"/>
          <w:sz w:val="24"/>
          <w:szCs w:val="24"/>
        </w:rPr>
        <w:t xml:space="preserve">the local residents’ survival </w:t>
      </w:r>
      <w:r w:rsidR="00B752AF" w:rsidRPr="00F33937">
        <w:rPr>
          <w:rFonts w:ascii="Times New Roman" w:hAnsi="Times New Roman" w:cs="Times New Roman"/>
          <w:sz w:val="24"/>
          <w:szCs w:val="24"/>
        </w:rPr>
        <w:t xml:space="preserve">in </w:t>
      </w:r>
      <w:r w:rsidR="00B752AF" w:rsidRPr="00F33937">
        <w:rPr>
          <w:rFonts w:ascii="Times New Roman" w:hAnsi="Times New Roman" w:cs="Times New Roman"/>
          <w:i/>
          <w:sz w:val="24"/>
          <w:szCs w:val="24"/>
        </w:rPr>
        <w:t>Kichwa</w:t>
      </w:r>
      <w:r w:rsidR="00B752AF" w:rsidRPr="00F33937">
        <w:rPr>
          <w:rFonts w:ascii="Times New Roman" w:hAnsi="Times New Roman" w:cs="Times New Roman"/>
          <w:sz w:val="24"/>
          <w:szCs w:val="24"/>
        </w:rPr>
        <w:t xml:space="preserve"> </w:t>
      </w:r>
      <w:r w:rsidR="00B16F2D" w:rsidRPr="00F33937">
        <w:rPr>
          <w:rFonts w:ascii="Times New Roman" w:hAnsi="Times New Roman" w:cs="Times New Roman"/>
          <w:sz w:val="24"/>
          <w:szCs w:val="24"/>
        </w:rPr>
        <w:t>depended upon an</w:t>
      </w:r>
      <w:r w:rsidR="00B752AF" w:rsidRPr="00F33937">
        <w:rPr>
          <w:rFonts w:ascii="Times New Roman" w:hAnsi="Times New Roman" w:cs="Times New Roman"/>
          <w:sz w:val="24"/>
          <w:szCs w:val="24"/>
        </w:rPr>
        <w:t xml:space="preserve">d was protected from unmolested </w:t>
      </w:r>
      <w:r w:rsidR="00B16F2D" w:rsidRPr="00F33937">
        <w:rPr>
          <w:rFonts w:ascii="Times New Roman" w:hAnsi="Times New Roman" w:cs="Times New Roman"/>
          <w:sz w:val="24"/>
          <w:szCs w:val="24"/>
        </w:rPr>
        <w:t>environmental resources, i</w:t>
      </w:r>
      <w:r w:rsidR="00021205" w:rsidRPr="00F33937">
        <w:rPr>
          <w:rFonts w:ascii="Times New Roman" w:hAnsi="Times New Roman" w:cs="Times New Roman"/>
          <w:sz w:val="24"/>
          <w:szCs w:val="24"/>
        </w:rPr>
        <w:t>n the matter of explosives use in the Sarayaku lands</w:t>
      </w:r>
      <w:r w:rsidR="00B752AF" w:rsidRPr="00F33937">
        <w:rPr>
          <w:rFonts w:ascii="Times New Roman" w:hAnsi="Times New Roman" w:cs="Times New Roman"/>
          <w:sz w:val="24"/>
          <w:szCs w:val="24"/>
        </w:rPr>
        <w:t xml:space="preserve"> </w:t>
      </w:r>
      <w:r w:rsidR="00D10BC0" w:rsidRPr="00F33937">
        <w:rPr>
          <w:rFonts w:ascii="Times New Roman" w:hAnsi="Times New Roman" w:cs="Times New Roman"/>
          <w:sz w:val="24"/>
          <w:szCs w:val="24"/>
        </w:rPr>
        <w:t>t</w:t>
      </w:r>
      <w:r w:rsidR="00021205" w:rsidRPr="00F33937">
        <w:rPr>
          <w:rFonts w:ascii="Times New Roman" w:hAnsi="Times New Roman" w:cs="Times New Roman"/>
          <w:sz w:val="24"/>
          <w:szCs w:val="24"/>
        </w:rPr>
        <w:t>he Court required Ecuador to comply with the environmental protections i</w:t>
      </w:r>
      <w:r w:rsidR="00B25A55">
        <w:rPr>
          <w:rFonts w:ascii="Times New Roman" w:hAnsi="Times New Roman" w:cs="Times New Roman"/>
          <w:sz w:val="24"/>
          <w:szCs w:val="24"/>
        </w:rPr>
        <w:t>t had, as a State</w:t>
      </w:r>
      <w:r w:rsidR="00B16F2D" w:rsidRPr="00F33937">
        <w:rPr>
          <w:rFonts w:ascii="Times New Roman" w:hAnsi="Times New Roman" w:cs="Times New Roman"/>
          <w:sz w:val="24"/>
          <w:szCs w:val="24"/>
        </w:rPr>
        <w:t xml:space="preserve"> Party</w:t>
      </w:r>
      <w:r w:rsidR="00B25A55">
        <w:rPr>
          <w:rFonts w:ascii="Times New Roman" w:hAnsi="Times New Roman" w:cs="Times New Roman"/>
          <w:sz w:val="24"/>
          <w:szCs w:val="24"/>
        </w:rPr>
        <w:t xml:space="preserve"> to the OAS</w:t>
      </w:r>
      <w:r w:rsidR="00B16F2D" w:rsidRPr="00F33937">
        <w:rPr>
          <w:rFonts w:ascii="Times New Roman" w:hAnsi="Times New Roman" w:cs="Times New Roman"/>
          <w:sz w:val="24"/>
          <w:szCs w:val="24"/>
        </w:rPr>
        <w:t xml:space="preserve">, </w:t>
      </w:r>
      <w:r w:rsidR="00B752AF" w:rsidRPr="00F33937">
        <w:rPr>
          <w:rFonts w:ascii="Times New Roman" w:hAnsi="Times New Roman" w:cs="Times New Roman"/>
          <w:sz w:val="24"/>
          <w:szCs w:val="24"/>
        </w:rPr>
        <w:t xml:space="preserve">already </w:t>
      </w:r>
      <w:r w:rsidR="00B16F2D" w:rsidRPr="00F33937">
        <w:rPr>
          <w:rFonts w:ascii="Times New Roman" w:hAnsi="Times New Roman" w:cs="Times New Roman"/>
          <w:sz w:val="24"/>
          <w:szCs w:val="24"/>
        </w:rPr>
        <w:t>assumed.</w:t>
      </w:r>
      <w:r w:rsidR="00021205" w:rsidRPr="00F33937">
        <w:rPr>
          <w:rStyle w:val="FootnoteReference"/>
          <w:rFonts w:ascii="Times New Roman" w:hAnsi="Times New Roman" w:cs="Times New Roman"/>
          <w:sz w:val="24"/>
          <w:szCs w:val="24"/>
        </w:rPr>
        <w:footnoteReference w:id="79"/>
      </w:r>
      <w:r w:rsidR="00B16F2D" w:rsidRPr="00F33937">
        <w:rPr>
          <w:rFonts w:ascii="Times New Roman" w:hAnsi="Times New Roman" w:cs="Times New Roman"/>
          <w:sz w:val="24"/>
          <w:szCs w:val="24"/>
        </w:rPr>
        <w:t>,</w:t>
      </w:r>
      <w:r w:rsidR="009B4F55" w:rsidRPr="00F33937">
        <w:rPr>
          <w:rStyle w:val="FootnoteReference"/>
          <w:rFonts w:ascii="Times New Roman" w:hAnsi="Times New Roman" w:cs="Times New Roman"/>
          <w:sz w:val="24"/>
          <w:szCs w:val="24"/>
        </w:rPr>
        <w:footnoteReference w:id="80"/>
      </w:r>
      <w:r w:rsidR="00B16F2D" w:rsidRPr="00F33937">
        <w:rPr>
          <w:rFonts w:ascii="Times New Roman" w:hAnsi="Times New Roman" w:cs="Times New Roman"/>
          <w:sz w:val="24"/>
          <w:szCs w:val="24"/>
        </w:rPr>
        <w:t xml:space="preserve"> </w:t>
      </w:r>
    </w:p>
    <w:p w14:paraId="30DDA03E" w14:textId="669D5796" w:rsidR="003A47FE" w:rsidRPr="00F33937" w:rsidRDefault="00D10BC0" w:rsidP="0045311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The day Petitioners’ relatives were killed</w:t>
      </w:r>
      <w:r w:rsidR="00615EAF">
        <w:rPr>
          <w:rFonts w:ascii="Times New Roman" w:hAnsi="Times New Roman" w:cs="Times New Roman"/>
          <w:sz w:val="24"/>
          <w:szCs w:val="24"/>
        </w:rPr>
        <w:t>,</w:t>
      </w:r>
      <w:r w:rsidRPr="00F33937">
        <w:rPr>
          <w:rFonts w:ascii="Times New Roman" w:hAnsi="Times New Roman" w:cs="Times New Roman"/>
          <w:sz w:val="24"/>
          <w:szCs w:val="24"/>
        </w:rPr>
        <w:t xml:space="preserve"> Paraio village was not only subjected to direct military bombing but was exposed to a </w:t>
      </w:r>
      <w:r w:rsidR="00615EAF">
        <w:rPr>
          <w:rFonts w:ascii="Times New Roman" w:hAnsi="Times New Roman" w:cs="Times New Roman"/>
          <w:sz w:val="24"/>
          <w:szCs w:val="24"/>
        </w:rPr>
        <w:t xml:space="preserve">potential munitions plant </w:t>
      </w:r>
      <w:r w:rsidRPr="00F33937">
        <w:rPr>
          <w:rFonts w:ascii="Times New Roman" w:hAnsi="Times New Roman" w:cs="Times New Roman"/>
          <w:sz w:val="24"/>
          <w:szCs w:val="24"/>
        </w:rPr>
        <w:t xml:space="preserve">explosion.  </w:t>
      </w:r>
      <w:r w:rsidR="00C45E76" w:rsidRPr="00F33937">
        <w:rPr>
          <w:rFonts w:ascii="Times New Roman" w:hAnsi="Times New Roman" w:cs="Times New Roman"/>
          <w:sz w:val="24"/>
          <w:szCs w:val="24"/>
        </w:rPr>
        <w:t>Th</w:t>
      </w:r>
      <w:r w:rsidRPr="00F33937">
        <w:rPr>
          <w:rFonts w:ascii="Times New Roman" w:hAnsi="Times New Roman" w:cs="Times New Roman"/>
          <w:sz w:val="24"/>
          <w:szCs w:val="24"/>
        </w:rPr>
        <w:t xml:space="preserve">is </w:t>
      </w:r>
      <w:r w:rsidR="008621DB" w:rsidRPr="00F33937">
        <w:rPr>
          <w:rFonts w:ascii="Times New Roman" w:hAnsi="Times New Roman" w:cs="Times New Roman"/>
          <w:sz w:val="24"/>
          <w:szCs w:val="24"/>
        </w:rPr>
        <w:t>ho</w:t>
      </w:r>
      <w:r w:rsidRPr="00F33937">
        <w:rPr>
          <w:rFonts w:ascii="Times New Roman" w:hAnsi="Times New Roman" w:cs="Times New Roman"/>
          <w:sz w:val="24"/>
          <w:szCs w:val="24"/>
        </w:rPr>
        <w:t xml:space="preserve">me village is located in </w:t>
      </w:r>
      <w:r w:rsidR="009353D0" w:rsidRPr="00F33937">
        <w:rPr>
          <w:rFonts w:ascii="Times New Roman" w:hAnsi="Times New Roman" w:cs="Times New Roman"/>
          <w:sz w:val="24"/>
          <w:szCs w:val="24"/>
        </w:rPr>
        <w:t>Charechia’s</w:t>
      </w:r>
      <w:r w:rsidR="008621DB" w:rsidRPr="00F33937">
        <w:rPr>
          <w:rFonts w:ascii="Times New Roman" w:hAnsi="Times New Roman" w:cs="Times New Roman"/>
          <w:sz w:val="24"/>
          <w:szCs w:val="24"/>
        </w:rPr>
        <w:t xml:space="preserve"> </w:t>
      </w:r>
      <w:r w:rsidR="007050BB" w:rsidRPr="00F33937">
        <w:rPr>
          <w:rFonts w:ascii="Times New Roman" w:hAnsi="Times New Roman" w:cs="Times New Roman"/>
          <w:sz w:val="24"/>
          <w:szCs w:val="24"/>
        </w:rPr>
        <w:t>poorest state</w:t>
      </w:r>
      <w:r w:rsidR="008621DB" w:rsidRPr="00F33937">
        <w:rPr>
          <w:rFonts w:ascii="Times New Roman" w:hAnsi="Times New Roman" w:cs="Times New Roman"/>
          <w:sz w:val="24"/>
          <w:szCs w:val="24"/>
        </w:rPr>
        <w:t xml:space="preserve">, where the people’s livelihood </w:t>
      </w:r>
      <w:r w:rsidR="00B075BE" w:rsidRPr="00F33937">
        <w:rPr>
          <w:rFonts w:ascii="Times New Roman" w:hAnsi="Times New Roman" w:cs="Times New Roman"/>
          <w:sz w:val="24"/>
          <w:szCs w:val="24"/>
        </w:rPr>
        <w:t xml:space="preserve">depends </w:t>
      </w:r>
      <w:r w:rsidR="00C45E76" w:rsidRPr="00F33937">
        <w:rPr>
          <w:rFonts w:ascii="Times New Roman" w:hAnsi="Times New Roman" w:cs="Times New Roman"/>
          <w:sz w:val="24"/>
          <w:szCs w:val="24"/>
        </w:rPr>
        <w:t xml:space="preserve">primarily </w:t>
      </w:r>
      <w:r w:rsidR="00B075BE" w:rsidRPr="00F33937">
        <w:rPr>
          <w:rFonts w:ascii="Times New Roman" w:hAnsi="Times New Roman" w:cs="Times New Roman"/>
          <w:sz w:val="24"/>
          <w:szCs w:val="24"/>
        </w:rPr>
        <w:t>on</w:t>
      </w:r>
      <w:r w:rsidR="007050BB" w:rsidRPr="00F33937">
        <w:rPr>
          <w:rFonts w:ascii="Times New Roman" w:hAnsi="Times New Roman" w:cs="Times New Roman"/>
          <w:sz w:val="24"/>
          <w:szCs w:val="24"/>
        </w:rPr>
        <w:t xml:space="preserve"> </w:t>
      </w:r>
      <w:r w:rsidR="002E2577" w:rsidRPr="00F33937">
        <w:rPr>
          <w:rFonts w:ascii="Times New Roman" w:hAnsi="Times New Roman" w:cs="Times New Roman"/>
          <w:sz w:val="24"/>
          <w:szCs w:val="24"/>
        </w:rPr>
        <w:t>fishing</w:t>
      </w:r>
      <w:r w:rsidR="008621DB" w:rsidRPr="00F33937">
        <w:rPr>
          <w:rFonts w:ascii="Times New Roman" w:hAnsi="Times New Roman" w:cs="Times New Roman"/>
          <w:sz w:val="24"/>
          <w:szCs w:val="24"/>
        </w:rPr>
        <w:t xml:space="preserve"> the</w:t>
      </w:r>
      <w:r w:rsidR="002E2577" w:rsidRPr="00F33937">
        <w:rPr>
          <w:rFonts w:ascii="Times New Roman" w:hAnsi="Times New Roman" w:cs="Times New Roman"/>
          <w:sz w:val="24"/>
          <w:szCs w:val="24"/>
        </w:rPr>
        <w:t xml:space="preserve"> local river</w:t>
      </w:r>
      <w:r w:rsidR="00C45E76" w:rsidRPr="00F33937">
        <w:rPr>
          <w:rFonts w:ascii="Times New Roman" w:hAnsi="Times New Roman" w:cs="Times New Roman"/>
          <w:sz w:val="24"/>
          <w:szCs w:val="24"/>
        </w:rPr>
        <w:t xml:space="preserve"> and farming</w:t>
      </w:r>
      <w:r w:rsidR="000A1C84" w:rsidRPr="00F33937">
        <w:rPr>
          <w:rFonts w:ascii="Times New Roman" w:hAnsi="Times New Roman" w:cs="Times New Roman"/>
          <w:sz w:val="24"/>
          <w:szCs w:val="24"/>
        </w:rPr>
        <w:t>.</w:t>
      </w:r>
      <w:r w:rsidR="007050BB" w:rsidRPr="00F33937">
        <w:rPr>
          <w:rStyle w:val="FootnoteReference"/>
          <w:rFonts w:ascii="Times New Roman" w:hAnsi="Times New Roman" w:cs="Times New Roman"/>
          <w:sz w:val="24"/>
          <w:szCs w:val="24"/>
        </w:rPr>
        <w:footnoteReference w:id="81"/>
      </w:r>
      <w:r w:rsidR="000A1C84" w:rsidRPr="00F33937">
        <w:rPr>
          <w:rFonts w:ascii="Times New Roman" w:hAnsi="Times New Roman" w:cs="Times New Roman"/>
          <w:sz w:val="24"/>
          <w:szCs w:val="24"/>
        </w:rPr>
        <w:t xml:space="preserve"> </w:t>
      </w:r>
      <w:r w:rsidR="00CC171E" w:rsidRPr="00F33937">
        <w:rPr>
          <w:rFonts w:ascii="Times New Roman" w:hAnsi="Times New Roman" w:cs="Times New Roman"/>
          <w:sz w:val="24"/>
          <w:szCs w:val="24"/>
        </w:rPr>
        <w:t xml:space="preserve"> </w:t>
      </w:r>
      <w:r w:rsidR="00432E63" w:rsidRPr="00F33937">
        <w:rPr>
          <w:rFonts w:ascii="Times New Roman" w:hAnsi="Times New Roman" w:cs="Times New Roman"/>
          <w:sz w:val="24"/>
          <w:szCs w:val="24"/>
        </w:rPr>
        <w:t>In 2017, t</w:t>
      </w:r>
      <w:r w:rsidR="00E34732" w:rsidRPr="00F33937">
        <w:rPr>
          <w:rFonts w:ascii="Times New Roman" w:hAnsi="Times New Roman" w:cs="Times New Roman"/>
          <w:sz w:val="24"/>
          <w:szCs w:val="24"/>
        </w:rPr>
        <w:t xml:space="preserve">he Families’ </w:t>
      </w:r>
      <w:r w:rsidR="00E31B71" w:rsidRPr="00F33937">
        <w:rPr>
          <w:rFonts w:ascii="Times New Roman" w:hAnsi="Times New Roman" w:cs="Times New Roman"/>
          <w:sz w:val="24"/>
          <w:szCs w:val="24"/>
        </w:rPr>
        <w:t xml:space="preserve">village </w:t>
      </w:r>
      <w:r w:rsidR="00046992" w:rsidRPr="00F33937">
        <w:rPr>
          <w:rFonts w:ascii="Times New Roman" w:hAnsi="Times New Roman" w:cs="Times New Roman"/>
          <w:sz w:val="24"/>
          <w:szCs w:val="24"/>
        </w:rPr>
        <w:t xml:space="preserve">was presumed </w:t>
      </w:r>
      <w:r w:rsidR="00E34732" w:rsidRPr="00F33937">
        <w:rPr>
          <w:rFonts w:ascii="Times New Roman" w:hAnsi="Times New Roman" w:cs="Times New Roman"/>
          <w:sz w:val="24"/>
          <w:szCs w:val="24"/>
        </w:rPr>
        <w:t xml:space="preserve">by the State </w:t>
      </w:r>
      <w:r w:rsidR="00046992" w:rsidRPr="00F33937">
        <w:rPr>
          <w:rFonts w:ascii="Times New Roman" w:hAnsi="Times New Roman" w:cs="Times New Roman"/>
          <w:sz w:val="24"/>
          <w:szCs w:val="24"/>
        </w:rPr>
        <w:t>to be “the regional headquarters” of secessionist group Shield of the North.</w:t>
      </w:r>
      <w:r w:rsidR="00046992" w:rsidRPr="00F33937">
        <w:rPr>
          <w:rStyle w:val="FootnoteReference"/>
          <w:rFonts w:ascii="Times New Roman" w:hAnsi="Times New Roman" w:cs="Times New Roman"/>
          <w:sz w:val="24"/>
          <w:szCs w:val="24"/>
        </w:rPr>
        <w:footnoteReference w:id="82"/>
      </w:r>
      <w:r w:rsidR="0041774B" w:rsidRPr="00F33937">
        <w:rPr>
          <w:rFonts w:ascii="Times New Roman" w:hAnsi="Times New Roman" w:cs="Times New Roman"/>
          <w:sz w:val="24"/>
          <w:szCs w:val="24"/>
        </w:rPr>
        <w:t xml:space="preserve">  </w:t>
      </w:r>
      <w:r w:rsidR="00FD6BD2" w:rsidRPr="00F33937">
        <w:rPr>
          <w:rFonts w:ascii="Times New Roman" w:hAnsi="Times New Roman" w:cs="Times New Roman"/>
          <w:sz w:val="24"/>
          <w:szCs w:val="24"/>
        </w:rPr>
        <w:t xml:space="preserve">Regarding its pursuit </w:t>
      </w:r>
      <w:r w:rsidR="00046992" w:rsidRPr="00F33937">
        <w:rPr>
          <w:rFonts w:ascii="Times New Roman" w:hAnsi="Times New Roman" w:cs="Times New Roman"/>
          <w:sz w:val="24"/>
          <w:szCs w:val="24"/>
        </w:rPr>
        <w:t xml:space="preserve">via </w:t>
      </w:r>
      <w:r w:rsidR="00FD6BD2" w:rsidRPr="00F33937">
        <w:rPr>
          <w:rFonts w:ascii="Times New Roman" w:hAnsi="Times New Roman" w:cs="Times New Roman"/>
          <w:sz w:val="24"/>
          <w:szCs w:val="24"/>
        </w:rPr>
        <w:t xml:space="preserve">“military crackdowns” upon </w:t>
      </w:r>
      <w:r w:rsidRPr="00F33937">
        <w:rPr>
          <w:rFonts w:ascii="Times New Roman" w:hAnsi="Times New Roman" w:cs="Times New Roman"/>
          <w:sz w:val="24"/>
          <w:szCs w:val="24"/>
        </w:rPr>
        <w:t>this</w:t>
      </w:r>
      <w:r w:rsidR="0041774B" w:rsidRPr="00F33937">
        <w:rPr>
          <w:rFonts w:ascii="Times New Roman" w:hAnsi="Times New Roman" w:cs="Times New Roman"/>
          <w:sz w:val="24"/>
          <w:szCs w:val="24"/>
        </w:rPr>
        <w:t xml:space="preserve"> </w:t>
      </w:r>
      <w:r w:rsidR="00F00643" w:rsidRPr="00F33937">
        <w:rPr>
          <w:rFonts w:ascii="Times New Roman" w:hAnsi="Times New Roman" w:cs="Times New Roman"/>
          <w:sz w:val="24"/>
          <w:szCs w:val="24"/>
        </w:rPr>
        <w:t>Shield</w:t>
      </w:r>
      <w:r w:rsidR="00B075BE" w:rsidRPr="00F33937">
        <w:rPr>
          <w:rFonts w:ascii="Times New Roman" w:hAnsi="Times New Roman" w:cs="Times New Roman"/>
          <w:sz w:val="24"/>
          <w:szCs w:val="24"/>
        </w:rPr>
        <w:t>,</w:t>
      </w:r>
      <w:r w:rsidR="00FD6BD2" w:rsidRPr="00F33937">
        <w:rPr>
          <w:rStyle w:val="FootnoteReference"/>
          <w:rFonts w:ascii="Times New Roman" w:hAnsi="Times New Roman" w:cs="Times New Roman"/>
          <w:sz w:val="24"/>
          <w:szCs w:val="24"/>
        </w:rPr>
        <w:footnoteReference w:id="83"/>
      </w:r>
      <w:r w:rsidR="00046992" w:rsidRPr="00F33937">
        <w:rPr>
          <w:rFonts w:ascii="Times New Roman" w:hAnsi="Times New Roman" w:cs="Times New Roman"/>
          <w:sz w:val="24"/>
          <w:szCs w:val="24"/>
        </w:rPr>
        <w:t xml:space="preserve"> </w:t>
      </w:r>
      <w:r w:rsidR="00E34732" w:rsidRPr="00F33937">
        <w:rPr>
          <w:rFonts w:ascii="Times New Roman" w:hAnsi="Times New Roman" w:cs="Times New Roman"/>
          <w:sz w:val="24"/>
          <w:szCs w:val="24"/>
        </w:rPr>
        <w:t>the S</w:t>
      </w:r>
      <w:r w:rsidR="00E31B71" w:rsidRPr="00F33937">
        <w:rPr>
          <w:rFonts w:ascii="Times New Roman" w:hAnsi="Times New Roman" w:cs="Times New Roman"/>
          <w:sz w:val="24"/>
          <w:szCs w:val="24"/>
        </w:rPr>
        <w:t>tate reported in 2018</w:t>
      </w:r>
      <w:r w:rsidRPr="00F33937">
        <w:rPr>
          <w:rFonts w:ascii="Times New Roman" w:hAnsi="Times New Roman" w:cs="Times New Roman"/>
          <w:sz w:val="24"/>
          <w:szCs w:val="24"/>
        </w:rPr>
        <w:t xml:space="preserve">, </w:t>
      </w:r>
      <w:r w:rsidR="00B075BE" w:rsidRPr="00F33937">
        <w:rPr>
          <w:rFonts w:ascii="Times New Roman" w:hAnsi="Times New Roman" w:cs="Times New Roman"/>
          <w:sz w:val="24"/>
          <w:szCs w:val="24"/>
        </w:rPr>
        <w:t>post-bombing</w:t>
      </w:r>
      <w:r w:rsidRPr="00F33937">
        <w:rPr>
          <w:rFonts w:ascii="Times New Roman" w:hAnsi="Times New Roman" w:cs="Times New Roman"/>
          <w:sz w:val="24"/>
          <w:szCs w:val="24"/>
        </w:rPr>
        <w:t xml:space="preserve">, </w:t>
      </w:r>
      <w:r w:rsidR="00B075BE" w:rsidRPr="00F33937">
        <w:rPr>
          <w:rFonts w:ascii="Times New Roman" w:hAnsi="Times New Roman" w:cs="Times New Roman"/>
          <w:sz w:val="24"/>
          <w:szCs w:val="24"/>
        </w:rPr>
        <w:t xml:space="preserve">that </w:t>
      </w:r>
      <w:r w:rsidR="00E34732" w:rsidRPr="00F33937">
        <w:rPr>
          <w:rFonts w:ascii="Times New Roman" w:hAnsi="Times New Roman" w:cs="Times New Roman"/>
          <w:sz w:val="24"/>
          <w:szCs w:val="24"/>
        </w:rPr>
        <w:t>its</w:t>
      </w:r>
      <w:r w:rsidR="00046992" w:rsidRPr="00F33937">
        <w:rPr>
          <w:rFonts w:ascii="Times New Roman" w:hAnsi="Times New Roman" w:cs="Times New Roman"/>
          <w:sz w:val="24"/>
          <w:szCs w:val="24"/>
        </w:rPr>
        <w:t xml:space="preserve"> “average proximity</w:t>
      </w:r>
      <w:r w:rsidR="0041774B" w:rsidRPr="00F33937">
        <w:rPr>
          <w:rFonts w:ascii="Times New Roman" w:hAnsi="Times New Roman" w:cs="Times New Roman"/>
          <w:sz w:val="24"/>
          <w:szCs w:val="24"/>
        </w:rPr>
        <w:t xml:space="preserve"> of raid targets to known </w:t>
      </w:r>
      <w:r w:rsidR="00F00643" w:rsidRPr="00F33937">
        <w:rPr>
          <w:rFonts w:ascii="Times New Roman" w:hAnsi="Times New Roman" w:cs="Times New Roman"/>
          <w:sz w:val="24"/>
          <w:szCs w:val="24"/>
        </w:rPr>
        <w:t xml:space="preserve">[Shield] </w:t>
      </w:r>
      <w:r w:rsidR="0041774B" w:rsidRPr="00F33937">
        <w:rPr>
          <w:rFonts w:ascii="Times New Roman" w:hAnsi="Times New Roman" w:cs="Times New Roman"/>
          <w:sz w:val="24"/>
          <w:szCs w:val="24"/>
        </w:rPr>
        <w:t xml:space="preserve">operation sites was less than 10,000 </w:t>
      </w:r>
      <w:r w:rsidR="00E34732" w:rsidRPr="00F33937">
        <w:rPr>
          <w:rFonts w:ascii="Times New Roman" w:hAnsi="Times New Roman" w:cs="Times New Roman"/>
          <w:sz w:val="24"/>
          <w:szCs w:val="24"/>
        </w:rPr>
        <w:t xml:space="preserve">yards </w:t>
      </w:r>
      <w:r w:rsidR="0041774B" w:rsidRPr="00F33937">
        <w:rPr>
          <w:rFonts w:ascii="Times New Roman" w:hAnsi="Times New Roman" w:cs="Times New Roman"/>
          <w:sz w:val="24"/>
          <w:szCs w:val="24"/>
        </w:rPr>
        <w:lastRenderedPageBreak/>
        <w:t>[about 5.68 miles].”</w:t>
      </w:r>
      <w:r w:rsidR="005A5AFF" w:rsidRPr="00F33937">
        <w:rPr>
          <w:rStyle w:val="FootnoteReference"/>
          <w:rFonts w:ascii="Times New Roman" w:hAnsi="Times New Roman" w:cs="Times New Roman"/>
          <w:sz w:val="24"/>
          <w:szCs w:val="24"/>
        </w:rPr>
        <w:footnoteReference w:id="84"/>
      </w:r>
      <w:r w:rsidR="00E34732" w:rsidRPr="00F33937">
        <w:rPr>
          <w:rFonts w:ascii="Times New Roman" w:hAnsi="Times New Roman" w:cs="Times New Roman"/>
          <w:sz w:val="24"/>
          <w:szCs w:val="24"/>
        </w:rPr>
        <w:t xml:space="preserve"> </w:t>
      </w:r>
      <w:r w:rsidR="000C05AB" w:rsidRPr="00F33937">
        <w:rPr>
          <w:rFonts w:ascii="Times New Roman" w:hAnsi="Times New Roman" w:cs="Times New Roman"/>
          <w:sz w:val="24"/>
          <w:szCs w:val="24"/>
        </w:rPr>
        <w:t>App</w:t>
      </w:r>
      <w:r w:rsidR="00C45E67" w:rsidRPr="00F33937">
        <w:rPr>
          <w:rFonts w:ascii="Times New Roman" w:hAnsi="Times New Roman" w:cs="Times New Roman"/>
          <w:sz w:val="24"/>
          <w:szCs w:val="24"/>
        </w:rPr>
        <w:t xml:space="preserve">roximately five miles </w:t>
      </w:r>
      <w:r w:rsidR="00B075BE" w:rsidRPr="00F33937">
        <w:rPr>
          <w:rFonts w:ascii="Times New Roman" w:hAnsi="Times New Roman" w:cs="Times New Roman"/>
          <w:sz w:val="24"/>
          <w:szCs w:val="24"/>
        </w:rPr>
        <w:t xml:space="preserve">upriver </w:t>
      </w:r>
      <w:r w:rsidR="00C45E67" w:rsidRPr="00F33937">
        <w:rPr>
          <w:rFonts w:ascii="Times New Roman" w:hAnsi="Times New Roman" w:cs="Times New Roman"/>
          <w:sz w:val="24"/>
          <w:szCs w:val="24"/>
        </w:rPr>
        <w:t xml:space="preserve">from the government’s </w:t>
      </w:r>
      <w:r w:rsidR="00B075BE" w:rsidRPr="00F33937">
        <w:rPr>
          <w:rFonts w:ascii="Times New Roman" w:hAnsi="Times New Roman" w:cs="Times New Roman"/>
          <w:sz w:val="24"/>
          <w:szCs w:val="24"/>
        </w:rPr>
        <w:t xml:space="preserve">August 16, 2017 </w:t>
      </w:r>
      <w:r w:rsidR="000C05AB" w:rsidRPr="00F33937">
        <w:rPr>
          <w:rFonts w:ascii="Times New Roman" w:hAnsi="Times New Roman" w:cs="Times New Roman"/>
          <w:sz w:val="24"/>
          <w:szCs w:val="24"/>
        </w:rPr>
        <w:t>raid target</w:t>
      </w:r>
      <w:r w:rsidR="00C45E76" w:rsidRPr="00F33937">
        <w:rPr>
          <w:rFonts w:ascii="Times New Roman" w:hAnsi="Times New Roman" w:cs="Times New Roman"/>
          <w:sz w:val="24"/>
          <w:szCs w:val="24"/>
        </w:rPr>
        <w:t xml:space="preserve">, </w:t>
      </w:r>
      <w:r w:rsidR="000C05AB" w:rsidRPr="00F33937">
        <w:rPr>
          <w:rFonts w:ascii="Times New Roman" w:hAnsi="Times New Roman" w:cs="Times New Roman"/>
          <w:sz w:val="24"/>
          <w:szCs w:val="24"/>
        </w:rPr>
        <w:t xml:space="preserve">Paraio </w:t>
      </w:r>
      <w:r w:rsidR="00C45E67" w:rsidRPr="00F33937">
        <w:rPr>
          <w:rFonts w:ascii="Times New Roman" w:hAnsi="Times New Roman" w:cs="Times New Roman"/>
          <w:sz w:val="24"/>
          <w:szCs w:val="24"/>
        </w:rPr>
        <w:t>village</w:t>
      </w:r>
      <w:r w:rsidR="00C45E76" w:rsidRPr="00F33937">
        <w:rPr>
          <w:rFonts w:ascii="Times New Roman" w:hAnsi="Times New Roman" w:cs="Times New Roman"/>
          <w:sz w:val="24"/>
          <w:szCs w:val="24"/>
        </w:rPr>
        <w:t>,</w:t>
      </w:r>
      <w:r w:rsidR="00C45E67" w:rsidRPr="00F33937">
        <w:rPr>
          <w:rFonts w:ascii="Times New Roman" w:hAnsi="Times New Roman" w:cs="Times New Roman"/>
          <w:sz w:val="24"/>
          <w:szCs w:val="24"/>
        </w:rPr>
        <w:t xml:space="preserve"> </w:t>
      </w:r>
      <w:r w:rsidR="00113850" w:rsidRPr="00F33937">
        <w:rPr>
          <w:rFonts w:ascii="Times New Roman" w:hAnsi="Times New Roman" w:cs="Times New Roman"/>
          <w:sz w:val="24"/>
          <w:szCs w:val="24"/>
        </w:rPr>
        <w:t>is a munitions plant.</w:t>
      </w:r>
      <w:r w:rsidR="00113850" w:rsidRPr="00F33937">
        <w:rPr>
          <w:rStyle w:val="FootnoteReference"/>
          <w:rFonts w:ascii="Times New Roman" w:hAnsi="Times New Roman" w:cs="Times New Roman"/>
          <w:sz w:val="24"/>
          <w:szCs w:val="24"/>
        </w:rPr>
        <w:footnoteReference w:id="85"/>
      </w:r>
      <w:r w:rsidR="00CD6638" w:rsidRPr="00F33937">
        <w:rPr>
          <w:rFonts w:ascii="Times New Roman" w:hAnsi="Times New Roman" w:cs="Times New Roman"/>
          <w:sz w:val="24"/>
          <w:szCs w:val="24"/>
        </w:rPr>
        <w:t xml:space="preserve">  </w:t>
      </w:r>
    </w:p>
    <w:p w14:paraId="301FEAEE" w14:textId="1F8AD953" w:rsidR="003F5BD8" w:rsidRPr="00F33937" w:rsidRDefault="003A47FE" w:rsidP="0045311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DC3FE0" w:rsidRPr="00F33937">
        <w:rPr>
          <w:rFonts w:ascii="Times New Roman" w:hAnsi="Times New Roman" w:cs="Times New Roman"/>
          <w:sz w:val="24"/>
          <w:szCs w:val="24"/>
        </w:rPr>
        <w:t>When</w:t>
      </w:r>
      <w:r w:rsidR="00CD6638" w:rsidRPr="00F33937">
        <w:rPr>
          <w:rFonts w:ascii="Times New Roman" w:hAnsi="Times New Roman" w:cs="Times New Roman"/>
          <w:sz w:val="24"/>
          <w:szCs w:val="24"/>
        </w:rPr>
        <w:t xml:space="preserve"> pursuing </w:t>
      </w:r>
      <w:r w:rsidR="00DC3FE0" w:rsidRPr="00F33937">
        <w:rPr>
          <w:rFonts w:ascii="Times New Roman" w:hAnsi="Times New Roman" w:cs="Times New Roman"/>
          <w:sz w:val="24"/>
          <w:szCs w:val="24"/>
        </w:rPr>
        <w:t xml:space="preserve">recent </w:t>
      </w:r>
      <w:r w:rsidR="00CD6638" w:rsidRPr="00F33937">
        <w:rPr>
          <w:rFonts w:ascii="Times New Roman" w:hAnsi="Times New Roman" w:cs="Times New Roman"/>
          <w:sz w:val="24"/>
          <w:szCs w:val="24"/>
        </w:rPr>
        <w:t>military raids upon presumed rebel sites, the</w:t>
      </w:r>
      <w:r w:rsidR="00006719" w:rsidRPr="00F33937">
        <w:rPr>
          <w:rFonts w:ascii="Times New Roman" w:hAnsi="Times New Roman" w:cs="Times New Roman"/>
          <w:sz w:val="24"/>
          <w:szCs w:val="24"/>
        </w:rPr>
        <w:t xml:space="preserve"> State conducted its</w:t>
      </w:r>
      <w:r w:rsidR="00CD6638" w:rsidRPr="00F33937">
        <w:rPr>
          <w:rFonts w:ascii="Times New Roman" w:hAnsi="Times New Roman" w:cs="Times New Roman"/>
          <w:sz w:val="24"/>
          <w:szCs w:val="24"/>
        </w:rPr>
        <w:t xml:space="preserve"> aver</w:t>
      </w:r>
      <w:r w:rsidR="00006719" w:rsidRPr="00F33937">
        <w:rPr>
          <w:rFonts w:ascii="Times New Roman" w:hAnsi="Times New Roman" w:cs="Times New Roman"/>
          <w:sz w:val="24"/>
          <w:szCs w:val="24"/>
        </w:rPr>
        <w:t xml:space="preserve">age raid </w:t>
      </w:r>
      <w:r w:rsidR="00CD6638" w:rsidRPr="00F33937">
        <w:rPr>
          <w:rFonts w:ascii="Times New Roman" w:hAnsi="Times New Roman" w:cs="Times New Roman"/>
          <w:sz w:val="24"/>
          <w:szCs w:val="24"/>
        </w:rPr>
        <w:t>within less than a 5.68 mile distance</w:t>
      </w:r>
      <w:r w:rsidR="00432E63" w:rsidRPr="00F33937">
        <w:rPr>
          <w:rFonts w:ascii="Times New Roman" w:hAnsi="Times New Roman" w:cs="Times New Roman"/>
          <w:sz w:val="24"/>
          <w:szCs w:val="24"/>
        </w:rPr>
        <w:t xml:space="preserve"> from the </w:t>
      </w:r>
      <w:r w:rsidR="00006719" w:rsidRPr="00F33937">
        <w:rPr>
          <w:rFonts w:ascii="Times New Roman" w:hAnsi="Times New Roman" w:cs="Times New Roman"/>
          <w:sz w:val="24"/>
          <w:szCs w:val="24"/>
        </w:rPr>
        <w:t xml:space="preserve">intended </w:t>
      </w:r>
      <w:r w:rsidR="00432E63" w:rsidRPr="00F33937">
        <w:rPr>
          <w:rFonts w:ascii="Times New Roman" w:hAnsi="Times New Roman" w:cs="Times New Roman"/>
          <w:sz w:val="24"/>
          <w:szCs w:val="24"/>
        </w:rPr>
        <w:t>target to the Shield’s operating site.</w:t>
      </w:r>
      <w:r w:rsidR="00006719" w:rsidRPr="00F33937">
        <w:rPr>
          <w:rFonts w:ascii="Times New Roman" w:hAnsi="Times New Roman" w:cs="Times New Roman"/>
          <w:sz w:val="24"/>
          <w:szCs w:val="24"/>
        </w:rPr>
        <w:t xml:space="preserve">  </w:t>
      </w:r>
      <w:r w:rsidRPr="00F33937">
        <w:rPr>
          <w:rFonts w:ascii="Times New Roman" w:hAnsi="Times New Roman" w:cs="Times New Roman"/>
          <w:sz w:val="24"/>
          <w:szCs w:val="24"/>
        </w:rPr>
        <w:t xml:space="preserve">Given the </w:t>
      </w:r>
      <w:r w:rsidR="001E75A6" w:rsidRPr="00F33937">
        <w:rPr>
          <w:rFonts w:ascii="Times New Roman" w:hAnsi="Times New Roman" w:cs="Times New Roman"/>
          <w:sz w:val="24"/>
          <w:szCs w:val="24"/>
        </w:rPr>
        <w:t xml:space="preserve">location of this </w:t>
      </w:r>
      <w:r w:rsidRPr="00F33937">
        <w:rPr>
          <w:rFonts w:ascii="Times New Roman" w:hAnsi="Times New Roman" w:cs="Times New Roman"/>
          <w:sz w:val="24"/>
          <w:szCs w:val="24"/>
        </w:rPr>
        <w:t>munitions plant, t</w:t>
      </w:r>
      <w:r w:rsidR="00006719" w:rsidRPr="00F33937">
        <w:rPr>
          <w:rFonts w:ascii="Times New Roman" w:hAnsi="Times New Roman" w:cs="Times New Roman"/>
          <w:sz w:val="24"/>
          <w:szCs w:val="24"/>
        </w:rPr>
        <w:t xml:space="preserve">his </w:t>
      </w:r>
      <w:r w:rsidRPr="00F33937">
        <w:rPr>
          <w:rFonts w:ascii="Times New Roman" w:hAnsi="Times New Roman" w:cs="Times New Roman"/>
          <w:sz w:val="24"/>
          <w:szCs w:val="24"/>
        </w:rPr>
        <w:t xml:space="preserve">government </w:t>
      </w:r>
      <w:r w:rsidR="00006719" w:rsidRPr="00F33937">
        <w:rPr>
          <w:rFonts w:ascii="Times New Roman" w:hAnsi="Times New Roman" w:cs="Times New Roman"/>
          <w:sz w:val="24"/>
          <w:szCs w:val="24"/>
        </w:rPr>
        <w:t xml:space="preserve">report means that in proceeding with the bombing of the Families’ village, the </w:t>
      </w:r>
      <w:r w:rsidR="00420BC2" w:rsidRPr="00F33937">
        <w:rPr>
          <w:rFonts w:ascii="Times New Roman" w:hAnsi="Times New Roman" w:cs="Times New Roman"/>
          <w:sz w:val="24"/>
          <w:szCs w:val="24"/>
        </w:rPr>
        <w:t xml:space="preserve">state-run </w:t>
      </w:r>
      <w:r w:rsidR="00006719" w:rsidRPr="00F33937">
        <w:rPr>
          <w:rFonts w:ascii="Times New Roman" w:hAnsi="Times New Roman" w:cs="Times New Roman"/>
          <w:sz w:val="24"/>
          <w:szCs w:val="24"/>
        </w:rPr>
        <w:t>munitions plant</w:t>
      </w:r>
      <w:r w:rsidR="00420BC2" w:rsidRPr="00F33937">
        <w:rPr>
          <w:rStyle w:val="FootnoteReference"/>
          <w:rFonts w:ascii="Times New Roman" w:hAnsi="Times New Roman" w:cs="Times New Roman"/>
          <w:sz w:val="24"/>
          <w:szCs w:val="24"/>
        </w:rPr>
        <w:footnoteReference w:id="86"/>
      </w:r>
      <w:r w:rsidR="00006719" w:rsidRPr="00F33937">
        <w:rPr>
          <w:rFonts w:ascii="Times New Roman" w:hAnsi="Times New Roman" w:cs="Times New Roman"/>
          <w:sz w:val="24"/>
          <w:szCs w:val="24"/>
        </w:rPr>
        <w:t xml:space="preserve"> and the environment in and s</w:t>
      </w:r>
      <w:r w:rsidR="001E75A6" w:rsidRPr="00F33937">
        <w:rPr>
          <w:rFonts w:ascii="Times New Roman" w:hAnsi="Times New Roman" w:cs="Times New Roman"/>
          <w:sz w:val="24"/>
          <w:szCs w:val="24"/>
        </w:rPr>
        <w:t>urrounding Paraio were</w:t>
      </w:r>
      <w:r w:rsidR="00DC3FE0" w:rsidRPr="00F33937">
        <w:rPr>
          <w:rFonts w:ascii="Times New Roman" w:hAnsi="Times New Roman" w:cs="Times New Roman"/>
          <w:sz w:val="24"/>
          <w:szCs w:val="24"/>
        </w:rPr>
        <w:t xml:space="preserve"> likely to be caught</w:t>
      </w:r>
      <w:r w:rsidR="00006719" w:rsidRPr="00F33937">
        <w:rPr>
          <w:rFonts w:ascii="Times New Roman" w:hAnsi="Times New Roman" w:cs="Times New Roman"/>
          <w:sz w:val="24"/>
          <w:szCs w:val="24"/>
        </w:rPr>
        <w:t xml:space="preserve"> in the blast radius </w:t>
      </w:r>
      <w:r w:rsidR="00234F3B" w:rsidRPr="00F33937">
        <w:rPr>
          <w:rFonts w:ascii="Times New Roman" w:hAnsi="Times New Roman" w:cs="Times New Roman"/>
          <w:sz w:val="24"/>
          <w:szCs w:val="24"/>
        </w:rPr>
        <w:t xml:space="preserve">of the raid’s </w:t>
      </w:r>
      <w:r w:rsidR="00006719" w:rsidRPr="00F33937">
        <w:rPr>
          <w:rFonts w:ascii="Times New Roman" w:hAnsi="Times New Roman" w:cs="Times New Roman"/>
          <w:sz w:val="24"/>
          <w:szCs w:val="24"/>
        </w:rPr>
        <w:t>bomb(s)</w:t>
      </w:r>
      <w:r w:rsidR="00DC3FE0" w:rsidRPr="00F33937">
        <w:rPr>
          <w:rFonts w:ascii="Times New Roman" w:hAnsi="Times New Roman" w:cs="Times New Roman"/>
          <w:sz w:val="24"/>
          <w:szCs w:val="24"/>
        </w:rPr>
        <w:t>.</w:t>
      </w:r>
      <w:r w:rsidR="00234F3B" w:rsidRPr="00F33937">
        <w:rPr>
          <w:rFonts w:ascii="Times New Roman" w:hAnsi="Times New Roman" w:cs="Times New Roman"/>
          <w:sz w:val="24"/>
          <w:szCs w:val="24"/>
        </w:rPr>
        <w:t xml:space="preserve"> </w:t>
      </w:r>
    </w:p>
    <w:p w14:paraId="2996B2BF" w14:textId="77777777" w:rsidR="00234F3B" w:rsidRPr="00F33937" w:rsidRDefault="00C21A6C" w:rsidP="00234F3B">
      <w:pPr>
        <w:spacing w:line="240" w:lineRule="auto"/>
        <w:contextualSpacing/>
        <w:rPr>
          <w:rFonts w:ascii="Times New Roman" w:hAnsi="Times New Roman" w:cs="Times New Roman"/>
          <w:sz w:val="24"/>
          <w:szCs w:val="24"/>
          <w:shd w:val="clear" w:color="auto" w:fill="FFFFFF"/>
        </w:rPr>
      </w:pPr>
      <w:r w:rsidRPr="00F33937">
        <w:rPr>
          <w:rFonts w:ascii="Times New Roman" w:hAnsi="Times New Roman" w:cs="Times New Roman"/>
          <w:sz w:val="24"/>
          <w:szCs w:val="24"/>
        </w:rPr>
        <w:tab/>
      </w:r>
      <w:r w:rsidR="00FA1FD2" w:rsidRPr="00F33937">
        <w:rPr>
          <w:rFonts w:ascii="Times New Roman" w:hAnsi="Times New Roman" w:cs="Times New Roman"/>
          <w:sz w:val="24"/>
          <w:szCs w:val="24"/>
        </w:rPr>
        <w:t>The Geneva Convention’s Additional Protocol I of 1977 prohibits unne</w:t>
      </w:r>
      <w:r w:rsidRPr="00F33937">
        <w:rPr>
          <w:rFonts w:ascii="Times New Roman" w:hAnsi="Times New Roman" w:cs="Times New Roman"/>
          <w:sz w:val="24"/>
          <w:szCs w:val="24"/>
        </w:rPr>
        <w:t xml:space="preserve">cessary environmental damage.  </w:t>
      </w:r>
      <w:r w:rsidR="00921C0A" w:rsidRPr="00F33937">
        <w:rPr>
          <w:rFonts w:ascii="Times New Roman" w:hAnsi="Times New Roman" w:cs="Times New Roman"/>
          <w:sz w:val="24"/>
          <w:szCs w:val="24"/>
          <w:shd w:val="clear" w:color="auto" w:fill="FFFFFF"/>
        </w:rPr>
        <w:t>Article 35</w:t>
      </w:r>
      <w:r w:rsidRPr="00F33937">
        <w:rPr>
          <w:rFonts w:ascii="Times New Roman" w:hAnsi="Times New Roman" w:cs="Times New Roman"/>
          <w:sz w:val="24"/>
          <w:szCs w:val="24"/>
          <w:shd w:val="clear" w:color="auto" w:fill="FFFFFF"/>
        </w:rPr>
        <w:t xml:space="preserve"> under its Basic Rules states:</w:t>
      </w:r>
    </w:p>
    <w:p w14:paraId="1B0DF570" w14:textId="15540FD2" w:rsidR="00234F3B" w:rsidRPr="00F33937" w:rsidRDefault="00921C0A" w:rsidP="00234F3B">
      <w:pPr>
        <w:spacing w:line="240" w:lineRule="auto"/>
        <w:contextualSpacing/>
        <w:rPr>
          <w:rFonts w:ascii="Times New Roman" w:hAnsi="Times New Roman" w:cs="Times New Roman"/>
          <w:sz w:val="24"/>
          <w:szCs w:val="24"/>
          <w:shd w:val="clear" w:color="auto" w:fill="FFFFFF"/>
        </w:rPr>
      </w:pPr>
      <w:r w:rsidRPr="00F33937">
        <w:rPr>
          <w:rFonts w:ascii="Times New Roman" w:hAnsi="Times New Roman" w:cs="Times New Roman"/>
          <w:sz w:val="24"/>
          <w:szCs w:val="24"/>
        </w:rPr>
        <w:br/>
      </w:r>
      <w:r w:rsidR="00234F3B" w:rsidRPr="00F33937">
        <w:rPr>
          <w:rFonts w:ascii="Times New Roman" w:hAnsi="Times New Roman" w:cs="Times New Roman"/>
          <w:sz w:val="24"/>
          <w:szCs w:val="24"/>
          <w:shd w:val="clear" w:color="auto" w:fill="FFFFFF"/>
        </w:rPr>
        <w:tab/>
      </w:r>
      <w:r w:rsidRPr="00F33937">
        <w:rPr>
          <w:rFonts w:ascii="Times New Roman" w:hAnsi="Times New Roman" w:cs="Times New Roman"/>
          <w:sz w:val="24"/>
          <w:szCs w:val="24"/>
          <w:shd w:val="clear" w:color="auto" w:fill="FFFFFF"/>
        </w:rPr>
        <w:t xml:space="preserve">1. In any armed conflict, the right of the Parties to the conflict to choose methods or </w:t>
      </w:r>
      <w:r w:rsidR="00234F3B" w:rsidRPr="00F33937">
        <w:rPr>
          <w:rFonts w:ascii="Times New Roman" w:hAnsi="Times New Roman" w:cs="Times New Roman"/>
          <w:sz w:val="24"/>
          <w:szCs w:val="24"/>
          <w:shd w:val="clear" w:color="auto" w:fill="FFFFFF"/>
        </w:rPr>
        <w:tab/>
      </w:r>
      <w:r w:rsidRPr="00F33937">
        <w:rPr>
          <w:rFonts w:ascii="Times New Roman" w:hAnsi="Times New Roman" w:cs="Times New Roman"/>
          <w:sz w:val="24"/>
          <w:szCs w:val="24"/>
          <w:shd w:val="clear" w:color="auto" w:fill="FFFFFF"/>
        </w:rPr>
        <w:t>means of warfare is not unlimited.</w:t>
      </w:r>
    </w:p>
    <w:p w14:paraId="2F49206D" w14:textId="77777777" w:rsidR="00234F3B" w:rsidRPr="00F33937" w:rsidRDefault="00C21A6C" w:rsidP="00234F3B">
      <w:pPr>
        <w:spacing w:after="0" w:line="240" w:lineRule="auto"/>
        <w:contextualSpacing/>
        <w:rPr>
          <w:rFonts w:ascii="Times New Roman" w:hAnsi="Times New Roman" w:cs="Times New Roman"/>
          <w:sz w:val="24"/>
          <w:szCs w:val="24"/>
          <w:shd w:val="clear" w:color="auto" w:fill="FFFFFF"/>
        </w:rPr>
      </w:pPr>
      <w:r w:rsidRPr="00F33937">
        <w:rPr>
          <w:rFonts w:ascii="Times New Roman" w:hAnsi="Times New Roman" w:cs="Times New Roman"/>
          <w:sz w:val="24"/>
          <w:szCs w:val="24"/>
        </w:rPr>
        <w:br/>
      </w:r>
      <w:r w:rsidR="00234F3B" w:rsidRPr="00F33937">
        <w:rPr>
          <w:rFonts w:ascii="Times New Roman" w:hAnsi="Times New Roman" w:cs="Times New Roman"/>
          <w:sz w:val="24"/>
          <w:szCs w:val="24"/>
          <w:shd w:val="clear" w:color="auto" w:fill="FFFFFF"/>
        </w:rPr>
        <w:tab/>
      </w:r>
      <w:r w:rsidR="00921C0A" w:rsidRPr="00F33937">
        <w:rPr>
          <w:rFonts w:ascii="Times New Roman" w:hAnsi="Times New Roman" w:cs="Times New Roman"/>
          <w:sz w:val="24"/>
          <w:szCs w:val="24"/>
          <w:shd w:val="clear" w:color="auto" w:fill="FFFFFF"/>
        </w:rPr>
        <w:t xml:space="preserve">2. It is prohibited to employ weapons, projectiles and material and methods of warfare of </w:t>
      </w:r>
      <w:r w:rsidR="00234F3B" w:rsidRPr="00F33937">
        <w:rPr>
          <w:rFonts w:ascii="Times New Roman" w:hAnsi="Times New Roman" w:cs="Times New Roman"/>
          <w:sz w:val="24"/>
          <w:szCs w:val="24"/>
          <w:shd w:val="clear" w:color="auto" w:fill="FFFFFF"/>
        </w:rPr>
        <w:tab/>
      </w:r>
      <w:r w:rsidR="00921C0A" w:rsidRPr="00F33937">
        <w:rPr>
          <w:rFonts w:ascii="Times New Roman" w:hAnsi="Times New Roman" w:cs="Times New Roman"/>
          <w:sz w:val="24"/>
          <w:szCs w:val="24"/>
          <w:shd w:val="clear" w:color="auto" w:fill="FFFFFF"/>
        </w:rPr>
        <w:t>a nature to cause superfluous injury or unnecessary suffering.</w:t>
      </w:r>
    </w:p>
    <w:p w14:paraId="6F0B2386" w14:textId="236DC925" w:rsidR="00FA1FD2" w:rsidRPr="00F33937" w:rsidRDefault="00C21A6C" w:rsidP="00234F3B">
      <w:pPr>
        <w:spacing w:after="0" w:line="240" w:lineRule="auto"/>
        <w:contextualSpacing/>
        <w:rPr>
          <w:rFonts w:ascii="Times New Roman" w:hAnsi="Times New Roman" w:cs="Times New Roman"/>
          <w:sz w:val="24"/>
          <w:szCs w:val="24"/>
          <w:shd w:val="clear" w:color="auto" w:fill="FFFFFF"/>
        </w:rPr>
      </w:pPr>
      <w:r w:rsidRPr="00F33937">
        <w:rPr>
          <w:rFonts w:ascii="Times New Roman" w:hAnsi="Times New Roman" w:cs="Times New Roman"/>
          <w:sz w:val="24"/>
          <w:szCs w:val="24"/>
        </w:rPr>
        <w:br/>
      </w:r>
      <w:r w:rsidR="00234F3B" w:rsidRPr="00F33937">
        <w:rPr>
          <w:rFonts w:ascii="Times New Roman" w:hAnsi="Times New Roman" w:cs="Times New Roman"/>
          <w:sz w:val="24"/>
          <w:szCs w:val="24"/>
          <w:shd w:val="clear" w:color="auto" w:fill="FFFFFF"/>
        </w:rPr>
        <w:tab/>
      </w:r>
      <w:r w:rsidR="00921C0A" w:rsidRPr="00F33937">
        <w:rPr>
          <w:rFonts w:ascii="Times New Roman" w:hAnsi="Times New Roman" w:cs="Times New Roman"/>
          <w:sz w:val="24"/>
          <w:szCs w:val="24"/>
          <w:shd w:val="clear" w:color="auto" w:fill="FFFFFF"/>
        </w:rPr>
        <w:t xml:space="preserve">3. It is prohibited to employ methods or means of warfare which are intended, or may be </w:t>
      </w:r>
      <w:r w:rsidR="00234F3B" w:rsidRPr="00F33937">
        <w:rPr>
          <w:rFonts w:ascii="Times New Roman" w:hAnsi="Times New Roman" w:cs="Times New Roman"/>
          <w:sz w:val="24"/>
          <w:szCs w:val="24"/>
          <w:shd w:val="clear" w:color="auto" w:fill="FFFFFF"/>
        </w:rPr>
        <w:tab/>
      </w:r>
      <w:r w:rsidR="00921C0A" w:rsidRPr="00F33937">
        <w:rPr>
          <w:rFonts w:ascii="Times New Roman" w:hAnsi="Times New Roman" w:cs="Times New Roman"/>
          <w:sz w:val="24"/>
          <w:szCs w:val="24"/>
          <w:shd w:val="clear" w:color="auto" w:fill="FFFFFF"/>
        </w:rPr>
        <w:t>expected, to cause widespread, long-term and severe damage to the natural environment.</w:t>
      </w:r>
    </w:p>
    <w:p w14:paraId="54EFBB3D" w14:textId="77777777" w:rsidR="00234F3B" w:rsidRPr="00F33937" w:rsidRDefault="00CA1483" w:rsidP="0045311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p>
    <w:p w14:paraId="6EE976CF" w14:textId="4F2BBBC7" w:rsidR="00D464E5" w:rsidRPr="00F33937" w:rsidRDefault="00234F3B" w:rsidP="0045311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35305D" w:rsidRPr="00F33937">
        <w:rPr>
          <w:rFonts w:ascii="Times New Roman" w:hAnsi="Times New Roman" w:cs="Times New Roman"/>
          <w:sz w:val="24"/>
          <w:szCs w:val="24"/>
        </w:rPr>
        <w:t>Despite its obligation through international instruments</w:t>
      </w:r>
      <w:r w:rsidRPr="00F33937">
        <w:rPr>
          <w:rFonts w:ascii="Times New Roman" w:hAnsi="Times New Roman" w:cs="Times New Roman"/>
          <w:sz w:val="24"/>
          <w:szCs w:val="24"/>
        </w:rPr>
        <w:t xml:space="preserve"> to do so</w:t>
      </w:r>
      <w:r w:rsidR="0035305D" w:rsidRPr="00F33937">
        <w:rPr>
          <w:rFonts w:ascii="Times New Roman" w:hAnsi="Times New Roman" w:cs="Times New Roman"/>
          <w:sz w:val="24"/>
          <w:szCs w:val="24"/>
        </w:rPr>
        <w:t>, there is no indication that the State took care to prevent</w:t>
      </w:r>
      <w:r w:rsidR="00D464E5" w:rsidRPr="00F33937">
        <w:rPr>
          <w:rFonts w:ascii="Times New Roman" w:hAnsi="Times New Roman" w:cs="Times New Roman"/>
          <w:sz w:val="24"/>
          <w:szCs w:val="24"/>
        </w:rPr>
        <w:t xml:space="preserve"> environmental disaster of both the land and water sources significant to the people of</w:t>
      </w:r>
      <w:r w:rsidR="00C21A6C" w:rsidRPr="00F33937">
        <w:rPr>
          <w:rFonts w:ascii="Times New Roman" w:hAnsi="Times New Roman" w:cs="Times New Roman"/>
          <w:sz w:val="24"/>
          <w:szCs w:val="24"/>
        </w:rPr>
        <w:t xml:space="preserve"> Paraio and Western Charechia. </w:t>
      </w:r>
      <w:r w:rsidR="00C21A6C" w:rsidRPr="00F33937">
        <w:rPr>
          <w:rFonts w:ascii="Times New Roman" w:hAnsi="Times New Roman" w:cs="Times New Roman"/>
          <w:sz w:val="24"/>
          <w:szCs w:val="24"/>
          <w:shd w:val="clear" w:color="auto" w:fill="FFFFFF"/>
        </w:rPr>
        <w:t xml:space="preserve"> </w:t>
      </w:r>
      <w:r w:rsidRPr="00F33937">
        <w:rPr>
          <w:rFonts w:ascii="Times New Roman" w:hAnsi="Times New Roman" w:cs="Times New Roman"/>
          <w:sz w:val="24"/>
          <w:szCs w:val="24"/>
          <w:shd w:val="clear" w:color="auto" w:fill="FFFFFF"/>
        </w:rPr>
        <w:t>Regarding the Article 7 violation, t</w:t>
      </w:r>
      <w:r w:rsidR="00B4618A" w:rsidRPr="00F33937">
        <w:rPr>
          <w:rFonts w:ascii="Times New Roman" w:hAnsi="Times New Roman" w:cs="Times New Roman"/>
          <w:sz w:val="24"/>
          <w:szCs w:val="24"/>
          <w:shd w:val="clear" w:color="auto" w:fill="FFFFFF"/>
        </w:rPr>
        <w:t>he State</w:t>
      </w:r>
      <w:r w:rsidR="00C21A6C" w:rsidRPr="00F33937">
        <w:rPr>
          <w:rFonts w:ascii="Times New Roman" w:hAnsi="Times New Roman" w:cs="Times New Roman"/>
          <w:sz w:val="24"/>
          <w:szCs w:val="24"/>
          <w:shd w:val="clear" w:color="auto" w:fill="FFFFFF"/>
        </w:rPr>
        <w:t xml:space="preserve">’s own reports on blast radius likelihood did not prevent the government from executing </w:t>
      </w:r>
      <w:r w:rsidR="00B4618A" w:rsidRPr="00F33937">
        <w:rPr>
          <w:rFonts w:ascii="Times New Roman" w:hAnsi="Times New Roman" w:cs="Times New Roman"/>
          <w:sz w:val="24"/>
          <w:szCs w:val="24"/>
          <w:shd w:val="clear" w:color="auto" w:fill="FFFFFF"/>
        </w:rPr>
        <w:t>Petitioners’</w:t>
      </w:r>
      <w:r w:rsidR="0091393B" w:rsidRPr="00F33937">
        <w:rPr>
          <w:rFonts w:ascii="Times New Roman" w:hAnsi="Times New Roman" w:cs="Times New Roman"/>
          <w:sz w:val="24"/>
          <w:szCs w:val="24"/>
          <w:shd w:val="clear" w:color="auto" w:fill="FFFFFF"/>
        </w:rPr>
        <w:t xml:space="preserve"> kin whi</w:t>
      </w:r>
      <w:r w:rsidR="00CA1483" w:rsidRPr="00F33937">
        <w:rPr>
          <w:rFonts w:ascii="Times New Roman" w:hAnsi="Times New Roman" w:cs="Times New Roman"/>
          <w:sz w:val="24"/>
          <w:szCs w:val="24"/>
          <w:shd w:val="clear" w:color="auto" w:fill="FFFFFF"/>
        </w:rPr>
        <w:t>le also risking exploding into the</w:t>
      </w:r>
      <w:r w:rsidR="00C21A6C" w:rsidRPr="00F33937">
        <w:rPr>
          <w:rFonts w:ascii="Times New Roman" w:hAnsi="Times New Roman" w:cs="Times New Roman"/>
          <w:sz w:val="24"/>
          <w:szCs w:val="24"/>
          <w:shd w:val="clear" w:color="auto" w:fill="FFFFFF"/>
        </w:rPr>
        <w:t xml:space="preserve"> indigenous persons’</w:t>
      </w:r>
      <w:r w:rsidR="00CA1483" w:rsidRPr="00F33937">
        <w:rPr>
          <w:rFonts w:ascii="Times New Roman" w:hAnsi="Times New Roman" w:cs="Times New Roman"/>
          <w:sz w:val="24"/>
          <w:szCs w:val="24"/>
          <w:shd w:val="clear" w:color="auto" w:fill="FFFFFF"/>
        </w:rPr>
        <w:t xml:space="preserve"> local environment the village’s proximal </w:t>
      </w:r>
      <w:r w:rsidR="0091393B" w:rsidRPr="00F33937">
        <w:rPr>
          <w:rFonts w:ascii="Times New Roman" w:hAnsi="Times New Roman" w:cs="Times New Roman"/>
          <w:sz w:val="24"/>
          <w:szCs w:val="24"/>
          <w:shd w:val="clear" w:color="auto" w:fill="FFFFFF"/>
        </w:rPr>
        <w:t>munitions plant.</w:t>
      </w:r>
      <w:r w:rsidR="00FE67B9" w:rsidRPr="00F33937">
        <w:rPr>
          <w:rStyle w:val="FootnoteReference"/>
          <w:rFonts w:ascii="Times New Roman" w:hAnsi="Times New Roman" w:cs="Times New Roman"/>
          <w:sz w:val="24"/>
          <w:szCs w:val="24"/>
          <w:shd w:val="clear" w:color="auto" w:fill="FFFFFF"/>
        </w:rPr>
        <w:footnoteReference w:id="87"/>
      </w:r>
      <w:r w:rsidR="003D26C5" w:rsidRPr="00F33937">
        <w:rPr>
          <w:rFonts w:ascii="Times New Roman" w:hAnsi="Times New Roman" w:cs="Times New Roman"/>
          <w:sz w:val="24"/>
          <w:szCs w:val="24"/>
          <w:shd w:val="clear" w:color="auto" w:fill="FFFFFF"/>
        </w:rPr>
        <w:t xml:space="preserve"> </w:t>
      </w:r>
      <w:r w:rsidR="003F531D" w:rsidRPr="00F33937">
        <w:rPr>
          <w:rFonts w:ascii="Times New Roman" w:hAnsi="Times New Roman" w:cs="Times New Roman"/>
          <w:sz w:val="24"/>
          <w:szCs w:val="24"/>
          <w:shd w:val="clear" w:color="auto" w:fill="FFFFFF"/>
        </w:rPr>
        <w:t xml:space="preserve"> </w:t>
      </w:r>
      <w:r w:rsidR="0035305D" w:rsidRPr="00F33937">
        <w:rPr>
          <w:rFonts w:ascii="Times New Roman" w:hAnsi="Times New Roman" w:cs="Times New Roman"/>
          <w:sz w:val="24"/>
          <w:szCs w:val="24"/>
          <w:shd w:val="clear" w:color="auto" w:fill="FFFFFF"/>
        </w:rPr>
        <w:t xml:space="preserve">Throughout instruments already acceded to by Charechia, </w:t>
      </w:r>
      <w:r w:rsidR="0035305D" w:rsidRPr="00F33937">
        <w:rPr>
          <w:rFonts w:ascii="Times New Roman" w:hAnsi="Times New Roman" w:cs="Times New Roman"/>
          <w:sz w:val="24"/>
          <w:szCs w:val="24"/>
          <w:shd w:val="clear" w:color="auto" w:fill="FFFFFF"/>
        </w:rPr>
        <w:lastRenderedPageBreak/>
        <w:t xml:space="preserve">the Families possessed personal security rights in their home region.  </w:t>
      </w:r>
      <w:r w:rsidR="00C21A6C" w:rsidRPr="00F33937">
        <w:rPr>
          <w:rFonts w:ascii="Times New Roman" w:hAnsi="Times New Roman" w:cs="Times New Roman"/>
          <w:sz w:val="24"/>
          <w:szCs w:val="24"/>
          <w:shd w:val="clear" w:color="auto" w:fill="FFFFFF"/>
        </w:rPr>
        <w:t xml:space="preserve">Therefore, </w:t>
      </w:r>
      <w:r w:rsidR="0035305D" w:rsidRPr="00F33937">
        <w:rPr>
          <w:rFonts w:ascii="Times New Roman" w:hAnsi="Times New Roman" w:cs="Times New Roman"/>
          <w:sz w:val="24"/>
          <w:szCs w:val="24"/>
          <w:shd w:val="clear" w:color="auto" w:fill="FFFFFF"/>
        </w:rPr>
        <w:t xml:space="preserve">when </w:t>
      </w:r>
      <w:r w:rsidR="0026463A" w:rsidRPr="00F33937">
        <w:rPr>
          <w:rFonts w:ascii="Times New Roman" w:hAnsi="Times New Roman" w:cs="Times New Roman"/>
          <w:sz w:val="24"/>
          <w:szCs w:val="24"/>
          <w:shd w:val="clear" w:color="auto" w:fill="FFFFFF"/>
        </w:rPr>
        <w:t>the S</w:t>
      </w:r>
      <w:r w:rsidR="003F531D" w:rsidRPr="00F33937">
        <w:rPr>
          <w:rFonts w:ascii="Times New Roman" w:hAnsi="Times New Roman" w:cs="Times New Roman"/>
          <w:sz w:val="24"/>
          <w:szCs w:val="24"/>
          <w:shd w:val="clear" w:color="auto" w:fill="FFFFFF"/>
        </w:rPr>
        <w:t>tate</w:t>
      </w:r>
      <w:r w:rsidR="0035305D" w:rsidRPr="00F33937">
        <w:rPr>
          <w:rFonts w:ascii="Times New Roman" w:hAnsi="Times New Roman" w:cs="Times New Roman"/>
          <w:sz w:val="24"/>
          <w:szCs w:val="24"/>
          <w:shd w:val="clear" w:color="auto" w:fill="FFFFFF"/>
        </w:rPr>
        <w:t xml:space="preserve"> bombed Pa</w:t>
      </w:r>
      <w:r w:rsidR="00FA6642" w:rsidRPr="00F33937">
        <w:rPr>
          <w:rFonts w:ascii="Times New Roman" w:hAnsi="Times New Roman" w:cs="Times New Roman"/>
          <w:sz w:val="24"/>
          <w:szCs w:val="24"/>
          <w:shd w:val="clear" w:color="auto" w:fill="FFFFFF"/>
        </w:rPr>
        <w:t xml:space="preserve">raio with munitions capable </w:t>
      </w:r>
      <w:r w:rsidRPr="00F33937">
        <w:rPr>
          <w:rFonts w:ascii="Times New Roman" w:hAnsi="Times New Roman" w:cs="Times New Roman"/>
          <w:sz w:val="24"/>
          <w:szCs w:val="24"/>
          <w:shd w:val="clear" w:color="auto" w:fill="FFFFFF"/>
        </w:rPr>
        <w:t xml:space="preserve">of consuming the village’s </w:t>
      </w:r>
      <w:r w:rsidR="00FA6642" w:rsidRPr="00F33937">
        <w:rPr>
          <w:rFonts w:ascii="Times New Roman" w:hAnsi="Times New Roman" w:cs="Times New Roman"/>
          <w:sz w:val="24"/>
          <w:szCs w:val="24"/>
          <w:shd w:val="clear" w:color="auto" w:fill="FFFFFF"/>
        </w:rPr>
        <w:t xml:space="preserve">non-combatants, its </w:t>
      </w:r>
      <w:r w:rsidRPr="00F33937">
        <w:rPr>
          <w:rFonts w:ascii="Times New Roman" w:hAnsi="Times New Roman" w:cs="Times New Roman"/>
          <w:sz w:val="24"/>
          <w:szCs w:val="24"/>
          <w:shd w:val="clear" w:color="auto" w:fill="FFFFFF"/>
        </w:rPr>
        <w:t>land</w:t>
      </w:r>
      <w:r w:rsidR="00FA6642" w:rsidRPr="00F33937">
        <w:rPr>
          <w:rFonts w:ascii="Times New Roman" w:hAnsi="Times New Roman" w:cs="Times New Roman"/>
          <w:sz w:val="24"/>
          <w:szCs w:val="24"/>
          <w:shd w:val="clear" w:color="auto" w:fill="FFFFFF"/>
        </w:rPr>
        <w:t>,</w:t>
      </w:r>
      <w:r w:rsidR="00F12244">
        <w:rPr>
          <w:rFonts w:ascii="Times New Roman" w:hAnsi="Times New Roman" w:cs="Times New Roman"/>
          <w:sz w:val="24"/>
          <w:szCs w:val="24"/>
          <w:shd w:val="clear" w:color="auto" w:fill="FFFFFF"/>
        </w:rPr>
        <w:t xml:space="preserve"> its river and its plant,</w:t>
      </w:r>
      <w:r w:rsidR="00FA6642" w:rsidRPr="00F33937">
        <w:rPr>
          <w:rFonts w:ascii="Times New Roman" w:hAnsi="Times New Roman" w:cs="Times New Roman"/>
          <w:sz w:val="24"/>
          <w:szCs w:val="24"/>
          <w:shd w:val="clear" w:color="auto" w:fill="FFFFFF"/>
        </w:rPr>
        <w:t xml:space="preserve"> </w:t>
      </w:r>
      <w:r w:rsidR="0035305D" w:rsidRPr="00F33937">
        <w:rPr>
          <w:rFonts w:ascii="Times New Roman" w:hAnsi="Times New Roman" w:cs="Times New Roman"/>
          <w:sz w:val="24"/>
          <w:szCs w:val="24"/>
          <w:shd w:val="clear" w:color="auto" w:fill="FFFFFF"/>
        </w:rPr>
        <w:t>it</w:t>
      </w:r>
      <w:r w:rsidR="003F531D" w:rsidRPr="00F33937">
        <w:rPr>
          <w:rFonts w:ascii="Times New Roman" w:hAnsi="Times New Roman" w:cs="Times New Roman"/>
          <w:sz w:val="24"/>
          <w:szCs w:val="24"/>
          <w:shd w:val="clear" w:color="auto" w:fill="FFFFFF"/>
        </w:rPr>
        <w:t xml:space="preserve"> violated </w:t>
      </w:r>
      <w:r w:rsidRPr="00F33937">
        <w:rPr>
          <w:rFonts w:ascii="Times New Roman" w:hAnsi="Times New Roman" w:cs="Times New Roman"/>
          <w:sz w:val="24"/>
          <w:szCs w:val="24"/>
          <w:shd w:val="clear" w:color="auto" w:fill="FFFFFF"/>
        </w:rPr>
        <w:t>Article 7</w:t>
      </w:r>
      <w:r w:rsidR="0026463A" w:rsidRPr="00F33937">
        <w:rPr>
          <w:rFonts w:ascii="Times New Roman" w:hAnsi="Times New Roman" w:cs="Times New Roman"/>
          <w:sz w:val="24"/>
          <w:szCs w:val="24"/>
          <w:shd w:val="clear" w:color="auto" w:fill="FFFFFF"/>
        </w:rPr>
        <w:t xml:space="preserve"> protections of liberty and security, through unnecessary environmental risk.</w:t>
      </w:r>
      <w:r w:rsidR="003D26C5" w:rsidRPr="00F33937">
        <w:rPr>
          <w:rFonts w:ascii="Times New Roman" w:hAnsi="Times New Roman" w:cs="Times New Roman"/>
          <w:sz w:val="24"/>
          <w:szCs w:val="24"/>
          <w:shd w:val="clear" w:color="auto" w:fill="FFFFFF"/>
        </w:rPr>
        <w:t xml:space="preserve"> </w:t>
      </w:r>
    </w:p>
    <w:p w14:paraId="0FFD40C1" w14:textId="77777777" w:rsidR="00AA0F03" w:rsidRPr="00F33937" w:rsidRDefault="00AA0F03" w:rsidP="00AC41CB">
      <w:pPr>
        <w:spacing w:line="480" w:lineRule="auto"/>
        <w:contextualSpacing/>
        <w:rPr>
          <w:rFonts w:ascii="Times New Roman" w:hAnsi="Times New Roman" w:cs="Times New Roman"/>
          <w:b/>
          <w:i/>
          <w:sz w:val="24"/>
          <w:szCs w:val="24"/>
        </w:rPr>
      </w:pPr>
    </w:p>
    <w:p w14:paraId="4E6BB43B" w14:textId="0C2FCAAA" w:rsidR="008513BC" w:rsidRPr="00F33937" w:rsidRDefault="00AF6C89" w:rsidP="00AC41CB">
      <w:pPr>
        <w:spacing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3</w:t>
      </w:r>
      <w:r w:rsidR="00A313EF" w:rsidRPr="00F33937">
        <w:rPr>
          <w:rFonts w:ascii="Times New Roman" w:hAnsi="Times New Roman" w:cs="Times New Roman"/>
          <w:b/>
          <w:i/>
          <w:sz w:val="24"/>
          <w:szCs w:val="24"/>
        </w:rPr>
        <w:t>.3</w:t>
      </w:r>
      <w:r w:rsidR="008513BC" w:rsidRPr="00F33937">
        <w:rPr>
          <w:rFonts w:ascii="Times New Roman" w:hAnsi="Times New Roman" w:cs="Times New Roman"/>
          <w:b/>
          <w:i/>
          <w:sz w:val="24"/>
          <w:szCs w:val="24"/>
        </w:rPr>
        <w:t xml:space="preserve"> – RIGHT TO A FAIR TRIAL</w:t>
      </w:r>
      <w:r w:rsidR="00B7329E" w:rsidRPr="00F33937">
        <w:rPr>
          <w:rFonts w:ascii="Times New Roman" w:hAnsi="Times New Roman" w:cs="Times New Roman"/>
          <w:b/>
          <w:i/>
          <w:sz w:val="24"/>
          <w:szCs w:val="24"/>
        </w:rPr>
        <w:t xml:space="preserve"> </w:t>
      </w:r>
    </w:p>
    <w:p w14:paraId="1B46079D" w14:textId="6944E56F" w:rsidR="008513BC" w:rsidRPr="00F33937" w:rsidRDefault="008513BC" w:rsidP="008513BC">
      <w:pPr>
        <w:spacing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The St</w:t>
      </w:r>
      <w:r w:rsidR="0029597A" w:rsidRPr="00F33937">
        <w:rPr>
          <w:rFonts w:ascii="Times New Roman" w:hAnsi="Times New Roman" w:cs="Times New Roman"/>
          <w:b/>
          <w:i/>
          <w:sz w:val="24"/>
          <w:szCs w:val="24"/>
        </w:rPr>
        <w:t>ate’s Access to Ju</w:t>
      </w:r>
      <w:r w:rsidR="007842A1" w:rsidRPr="00F33937">
        <w:rPr>
          <w:rFonts w:ascii="Times New Roman" w:hAnsi="Times New Roman" w:cs="Times New Roman"/>
          <w:b/>
          <w:i/>
          <w:sz w:val="24"/>
          <w:szCs w:val="24"/>
        </w:rPr>
        <w:t>stice Policy D</w:t>
      </w:r>
      <w:r w:rsidR="00030ADE">
        <w:rPr>
          <w:rFonts w:ascii="Times New Roman" w:hAnsi="Times New Roman" w:cs="Times New Roman"/>
          <w:b/>
          <w:i/>
          <w:sz w:val="24"/>
          <w:szCs w:val="24"/>
        </w:rPr>
        <w:t>iscriminated a</w:t>
      </w:r>
      <w:r w:rsidR="00602C82" w:rsidRPr="00F33937">
        <w:rPr>
          <w:rFonts w:ascii="Times New Roman" w:hAnsi="Times New Roman" w:cs="Times New Roman"/>
          <w:b/>
          <w:i/>
          <w:sz w:val="24"/>
          <w:szCs w:val="24"/>
        </w:rPr>
        <w:t>gainst</w:t>
      </w:r>
      <w:r w:rsidR="00E368AC" w:rsidRPr="00F33937">
        <w:rPr>
          <w:rFonts w:ascii="Times New Roman" w:hAnsi="Times New Roman" w:cs="Times New Roman"/>
          <w:b/>
          <w:i/>
          <w:sz w:val="24"/>
          <w:szCs w:val="24"/>
        </w:rPr>
        <w:t xml:space="preserve"> the</w:t>
      </w:r>
      <w:r w:rsidR="00602C82" w:rsidRPr="00F33937">
        <w:rPr>
          <w:rFonts w:ascii="Times New Roman" w:hAnsi="Times New Roman" w:cs="Times New Roman"/>
          <w:b/>
          <w:i/>
          <w:sz w:val="24"/>
          <w:szCs w:val="24"/>
        </w:rPr>
        <w:t xml:space="preserve"> </w:t>
      </w:r>
      <w:r w:rsidR="00BC0CD4" w:rsidRPr="00F33937">
        <w:rPr>
          <w:rFonts w:ascii="Times New Roman" w:hAnsi="Times New Roman" w:cs="Times New Roman"/>
          <w:b/>
          <w:i/>
          <w:sz w:val="24"/>
          <w:szCs w:val="24"/>
        </w:rPr>
        <w:t>Families</w:t>
      </w:r>
    </w:p>
    <w:p w14:paraId="15D6F72A" w14:textId="19FD1DCB" w:rsidR="00245816" w:rsidRPr="00F33937" w:rsidRDefault="00FF055E" w:rsidP="007D640A">
      <w:pPr>
        <w:spacing w:line="480" w:lineRule="auto"/>
        <w:contextualSpacing/>
        <w:rPr>
          <w:rFonts w:ascii="Times New Roman" w:hAnsi="Times New Roman" w:cs="Times New Roman"/>
          <w:b/>
          <w:i/>
          <w:sz w:val="24"/>
          <w:szCs w:val="24"/>
        </w:rPr>
      </w:pPr>
      <w:r w:rsidRPr="00F33937">
        <w:rPr>
          <w:rFonts w:ascii="Times New Roman" w:hAnsi="Times New Roman" w:cs="Times New Roman"/>
          <w:b/>
          <w:sz w:val="24"/>
          <w:szCs w:val="24"/>
        </w:rPr>
        <w:t xml:space="preserve"> </w:t>
      </w:r>
      <w:r w:rsidR="007D640A" w:rsidRPr="00F33937">
        <w:rPr>
          <w:rFonts w:ascii="Times New Roman" w:hAnsi="Times New Roman" w:cs="Times New Roman"/>
          <w:b/>
          <w:sz w:val="24"/>
          <w:szCs w:val="24"/>
        </w:rPr>
        <w:tab/>
      </w:r>
      <w:r w:rsidR="00B2318D" w:rsidRPr="00F33937">
        <w:rPr>
          <w:rFonts w:ascii="Times New Roman" w:hAnsi="Times New Roman" w:cs="Times New Roman"/>
          <w:sz w:val="24"/>
          <w:szCs w:val="24"/>
          <w:shd w:val="clear" w:color="auto" w:fill="FFFFFF"/>
        </w:rPr>
        <w:t>Fundamental to the ethos of international l</w:t>
      </w:r>
      <w:r w:rsidR="002D4243" w:rsidRPr="00F33937">
        <w:rPr>
          <w:rFonts w:ascii="Times New Roman" w:hAnsi="Times New Roman" w:cs="Times New Roman"/>
          <w:sz w:val="24"/>
          <w:szCs w:val="24"/>
          <w:shd w:val="clear" w:color="auto" w:fill="FFFFFF"/>
        </w:rPr>
        <w:t>aw is the embodiment</w:t>
      </w:r>
      <w:r w:rsidR="00B2318D" w:rsidRPr="00F33937">
        <w:rPr>
          <w:rFonts w:ascii="Times New Roman" w:hAnsi="Times New Roman" w:cs="Times New Roman"/>
          <w:sz w:val="24"/>
          <w:szCs w:val="24"/>
          <w:shd w:val="clear" w:color="auto" w:fill="FFFFFF"/>
        </w:rPr>
        <w:t xml:space="preserve"> for all persons protected </w:t>
      </w:r>
      <w:r w:rsidR="002D4243" w:rsidRPr="00F33937">
        <w:rPr>
          <w:rFonts w:ascii="Times New Roman" w:hAnsi="Times New Roman" w:cs="Times New Roman"/>
          <w:sz w:val="24"/>
          <w:szCs w:val="24"/>
          <w:shd w:val="clear" w:color="auto" w:fill="FFFFFF"/>
        </w:rPr>
        <w:t xml:space="preserve">of </w:t>
      </w:r>
      <w:r w:rsidR="00B2318D" w:rsidRPr="00F33937">
        <w:rPr>
          <w:rFonts w:ascii="Times New Roman" w:hAnsi="Times New Roman" w:cs="Times New Roman"/>
          <w:sz w:val="24"/>
          <w:szCs w:val="24"/>
          <w:shd w:val="clear" w:color="auto" w:fill="FFFFFF"/>
        </w:rPr>
        <w:t>the effective enjoyment and exercise</w:t>
      </w:r>
      <w:r w:rsidR="002B28BE" w:rsidRPr="00F33937">
        <w:rPr>
          <w:rFonts w:ascii="Times New Roman" w:hAnsi="Times New Roman" w:cs="Times New Roman"/>
          <w:sz w:val="24"/>
          <w:szCs w:val="24"/>
          <w:shd w:val="clear" w:color="auto" w:fill="FFFFFF"/>
        </w:rPr>
        <w:t>, without discrimination,</w:t>
      </w:r>
      <w:r w:rsidR="00B2318D" w:rsidRPr="00F33937">
        <w:rPr>
          <w:rFonts w:ascii="Times New Roman" w:hAnsi="Times New Roman" w:cs="Times New Roman"/>
          <w:sz w:val="24"/>
          <w:szCs w:val="24"/>
          <w:shd w:val="clear" w:color="auto" w:fill="FFFFFF"/>
        </w:rPr>
        <w:t xml:space="preserve"> of equal </w:t>
      </w:r>
      <w:r w:rsidR="008A23D8" w:rsidRPr="00F33937">
        <w:rPr>
          <w:rFonts w:ascii="Times New Roman" w:hAnsi="Times New Roman" w:cs="Times New Roman"/>
          <w:sz w:val="24"/>
          <w:szCs w:val="24"/>
          <w:shd w:val="clear" w:color="auto" w:fill="FFFFFF"/>
        </w:rPr>
        <w:t>protection of the</w:t>
      </w:r>
      <w:r w:rsidR="00B2318D" w:rsidRPr="00F33937">
        <w:rPr>
          <w:rFonts w:ascii="Times New Roman" w:hAnsi="Times New Roman" w:cs="Times New Roman"/>
          <w:sz w:val="24"/>
          <w:szCs w:val="24"/>
          <w:shd w:val="clear" w:color="auto" w:fill="FFFFFF"/>
        </w:rPr>
        <w:t xml:space="preserve"> law.</w:t>
      </w:r>
      <w:r w:rsidR="00B2318D" w:rsidRPr="00F33937">
        <w:rPr>
          <w:rStyle w:val="FootnoteReference"/>
          <w:rFonts w:ascii="Times New Roman" w:hAnsi="Times New Roman" w:cs="Times New Roman"/>
          <w:sz w:val="24"/>
          <w:szCs w:val="24"/>
          <w:shd w:val="clear" w:color="auto" w:fill="FFFFFF"/>
        </w:rPr>
        <w:footnoteReference w:id="88"/>
      </w:r>
      <w:r w:rsidR="00AB4FCE" w:rsidRPr="00F33937">
        <w:rPr>
          <w:rFonts w:ascii="Times New Roman" w:hAnsi="Times New Roman" w:cs="Times New Roman"/>
          <w:sz w:val="24"/>
          <w:szCs w:val="24"/>
          <w:shd w:val="clear" w:color="auto" w:fill="FFFFFF"/>
        </w:rPr>
        <w:t>,</w:t>
      </w:r>
      <w:r w:rsidR="00AB4FCE" w:rsidRPr="00F33937">
        <w:rPr>
          <w:rStyle w:val="FootnoteReference"/>
          <w:rFonts w:ascii="Times New Roman" w:hAnsi="Times New Roman" w:cs="Times New Roman"/>
          <w:sz w:val="24"/>
          <w:szCs w:val="24"/>
          <w:shd w:val="clear" w:color="auto" w:fill="FFFFFF"/>
        </w:rPr>
        <w:footnoteReference w:id="89"/>
      </w:r>
      <w:r w:rsidR="00AB4FCE" w:rsidRPr="00F33937">
        <w:rPr>
          <w:rFonts w:ascii="Times New Roman" w:hAnsi="Times New Roman" w:cs="Times New Roman"/>
          <w:sz w:val="24"/>
          <w:szCs w:val="24"/>
          <w:shd w:val="clear" w:color="auto" w:fill="FFFFFF"/>
        </w:rPr>
        <w:t xml:space="preserve">  </w:t>
      </w:r>
      <w:r w:rsidR="004F1F28" w:rsidRPr="00F33937">
        <w:rPr>
          <w:rFonts w:ascii="Times New Roman" w:hAnsi="Times New Roman" w:cs="Times New Roman"/>
          <w:sz w:val="24"/>
          <w:szCs w:val="24"/>
          <w:shd w:val="clear" w:color="auto" w:fill="FFFFFF"/>
        </w:rPr>
        <w:t>Similar instruments buoy this inhered right.</w:t>
      </w:r>
      <w:r w:rsidR="004F1F28" w:rsidRPr="00F33937">
        <w:rPr>
          <w:rStyle w:val="FootnoteReference"/>
          <w:rFonts w:ascii="Times New Roman" w:hAnsi="Times New Roman" w:cs="Times New Roman"/>
          <w:sz w:val="24"/>
          <w:szCs w:val="24"/>
          <w:shd w:val="clear" w:color="auto" w:fill="FFFFFF"/>
        </w:rPr>
        <w:footnoteReference w:id="90"/>
      </w:r>
      <w:r w:rsidR="00C80E2B" w:rsidRPr="00F33937">
        <w:rPr>
          <w:rFonts w:ascii="Times New Roman" w:hAnsi="Times New Roman" w:cs="Times New Roman"/>
          <w:sz w:val="24"/>
          <w:szCs w:val="24"/>
          <w:shd w:val="clear" w:color="auto" w:fill="FFFFFF"/>
        </w:rPr>
        <w:t xml:space="preserve">  </w:t>
      </w:r>
      <w:r w:rsidR="00220594" w:rsidRPr="00F33937">
        <w:rPr>
          <w:rFonts w:ascii="Times New Roman" w:hAnsi="Times New Roman" w:cs="Times New Roman"/>
          <w:sz w:val="24"/>
          <w:szCs w:val="24"/>
          <w:shd w:val="clear" w:color="auto" w:fill="FFFFFF"/>
        </w:rPr>
        <w:t>T</w:t>
      </w:r>
      <w:r w:rsidR="00CF17A7" w:rsidRPr="00F33937">
        <w:rPr>
          <w:rFonts w:ascii="Times New Roman" w:hAnsi="Times New Roman" w:cs="Times New Roman"/>
          <w:sz w:val="24"/>
          <w:szCs w:val="24"/>
          <w:shd w:val="clear" w:color="auto" w:fill="FFFFFF"/>
        </w:rPr>
        <w:t xml:space="preserve">his non-derogable right </w:t>
      </w:r>
      <w:r w:rsidR="00701F7B" w:rsidRPr="00F33937">
        <w:rPr>
          <w:rFonts w:ascii="Times New Roman" w:hAnsi="Times New Roman" w:cs="Times New Roman"/>
          <w:sz w:val="24"/>
          <w:szCs w:val="24"/>
          <w:shd w:val="clear" w:color="auto" w:fill="FFFFFF"/>
        </w:rPr>
        <w:t xml:space="preserve">encompasses, in conjunction with Article 1.1, </w:t>
      </w:r>
      <w:r w:rsidR="00220594" w:rsidRPr="00F33937">
        <w:rPr>
          <w:rFonts w:ascii="Times New Roman" w:hAnsi="Times New Roman" w:cs="Times New Roman"/>
          <w:sz w:val="24"/>
          <w:szCs w:val="24"/>
          <w:shd w:val="clear" w:color="auto" w:fill="FFFFFF"/>
        </w:rPr>
        <w:t>protections articulated in the ACHR’s Article 8 Right to a Fair Trial</w:t>
      </w:r>
      <w:r w:rsidR="000A5790" w:rsidRPr="00F33937">
        <w:rPr>
          <w:rFonts w:ascii="Times New Roman" w:hAnsi="Times New Roman" w:cs="Times New Roman"/>
          <w:sz w:val="24"/>
          <w:szCs w:val="24"/>
          <w:shd w:val="clear" w:color="auto" w:fill="FFFFFF"/>
        </w:rPr>
        <w:t>.  This Article enshrines rights to “a hearing, with due guara</w:t>
      </w:r>
      <w:r w:rsidR="007F0367" w:rsidRPr="00F33937">
        <w:rPr>
          <w:rFonts w:ascii="Times New Roman" w:hAnsi="Times New Roman" w:cs="Times New Roman"/>
          <w:sz w:val="24"/>
          <w:szCs w:val="24"/>
          <w:shd w:val="clear" w:color="auto" w:fill="FFFFFF"/>
        </w:rPr>
        <w:t>n</w:t>
      </w:r>
      <w:r w:rsidR="000A5790" w:rsidRPr="00F33937">
        <w:rPr>
          <w:rFonts w:ascii="Times New Roman" w:hAnsi="Times New Roman" w:cs="Times New Roman"/>
          <w:sz w:val="24"/>
          <w:szCs w:val="24"/>
          <w:shd w:val="clear" w:color="auto" w:fill="FFFFFF"/>
        </w:rPr>
        <w:t>tees and within a reasonable time, by a competent, independent</w:t>
      </w:r>
      <w:r w:rsidR="00C80E2B" w:rsidRPr="00F33937">
        <w:rPr>
          <w:rFonts w:ascii="Times New Roman" w:hAnsi="Times New Roman" w:cs="Times New Roman"/>
          <w:sz w:val="24"/>
          <w:szCs w:val="24"/>
          <w:shd w:val="clear" w:color="auto" w:fill="FFFFFF"/>
        </w:rPr>
        <w:t>,</w:t>
      </w:r>
      <w:r w:rsidR="000A5790" w:rsidRPr="00F33937">
        <w:rPr>
          <w:rFonts w:ascii="Times New Roman" w:hAnsi="Times New Roman" w:cs="Times New Roman"/>
          <w:sz w:val="24"/>
          <w:szCs w:val="24"/>
          <w:shd w:val="clear" w:color="auto" w:fill="FFFFFF"/>
        </w:rPr>
        <w:t xml:space="preserve"> and impartial tribunal, previously established by law, in the substantiation of any accusation of a criminal nature made against him or for the determination of his rights and obligations of a civil, labo</w:t>
      </w:r>
      <w:r w:rsidR="007F0367" w:rsidRPr="00F33937">
        <w:rPr>
          <w:rFonts w:ascii="Times New Roman" w:hAnsi="Times New Roman" w:cs="Times New Roman"/>
          <w:sz w:val="24"/>
          <w:szCs w:val="24"/>
          <w:shd w:val="clear" w:color="auto" w:fill="FFFFFF"/>
        </w:rPr>
        <w:t>r</w:t>
      </w:r>
      <w:r w:rsidR="000A5790" w:rsidRPr="00F33937">
        <w:rPr>
          <w:rFonts w:ascii="Times New Roman" w:hAnsi="Times New Roman" w:cs="Times New Roman"/>
          <w:sz w:val="24"/>
          <w:szCs w:val="24"/>
          <w:shd w:val="clear" w:color="auto" w:fill="FFFFFF"/>
        </w:rPr>
        <w:t>, fiscal, or any other nature.”</w:t>
      </w:r>
      <w:r w:rsidR="000A5790" w:rsidRPr="00F33937">
        <w:rPr>
          <w:rStyle w:val="FootnoteReference"/>
          <w:rFonts w:ascii="Times New Roman" w:hAnsi="Times New Roman" w:cs="Times New Roman"/>
          <w:sz w:val="24"/>
          <w:szCs w:val="24"/>
          <w:shd w:val="clear" w:color="auto" w:fill="FFFFFF"/>
        </w:rPr>
        <w:footnoteReference w:id="91"/>
      </w:r>
      <w:r w:rsidR="00C80E2B" w:rsidRPr="00F33937">
        <w:rPr>
          <w:rFonts w:ascii="Times New Roman" w:hAnsi="Times New Roman" w:cs="Times New Roman"/>
          <w:sz w:val="24"/>
          <w:szCs w:val="24"/>
          <w:shd w:val="clear" w:color="auto" w:fill="FFFFFF"/>
        </w:rPr>
        <w:t xml:space="preserve"> </w:t>
      </w:r>
      <w:r w:rsidR="007F0367" w:rsidRPr="00F33937">
        <w:rPr>
          <w:rFonts w:ascii="Times New Roman" w:hAnsi="Times New Roman" w:cs="Times New Roman"/>
          <w:sz w:val="24"/>
          <w:szCs w:val="24"/>
          <w:shd w:val="clear" w:color="auto" w:fill="FFFFFF"/>
        </w:rPr>
        <w:t xml:space="preserve"> Article 8 also</w:t>
      </w:r>
      <w:r w:rsidR="00C80E2B" w:rsidRPr="00F33937">
        <w:rPr>
          <w:rFonts w:ascii="Times New Roman" w:hAnsi="Times New Roman" w:cs="Times New Roman"/>
          <w:sz w:val="24"/>
          <w:szCs w:val="24"/>
          <w:shd w:val="clear" w:color="auto" w:fill="FFFFFF"/>
        </w:rPr>
        <w:t xml:space="preserve"> include</w:t>
      </w:r>
      <w:r w:rsidR="007F0367" w:rsidRPr="00F33937">
        <w:rPr>
          <w:rFonts w:ascii="Times New Roman" w:hAnsi="Times New Roman" w:cs="Times New Roman"/>
          <w:sz w:val="24"/>
          <w:szCs w:val="24"/>
          <w:shd w:val="clear" w:color="auto" w:fill="FFFFFF"/>
        </w:rPr>
        <w:t>s</w:t>
      </w:r>
      <w:r w:rsidR="00C80E2B" w:rsidRPr="00F33937">
        <w:rPr>
          <w:rFonts w:ascii="Times New Roman" w:hAnsi="Times New Roman" w:cs="Times New Roman"/>
          <w:sz w:val="24"/>
          <w:szCs w:val="24"/>
          <w:shd w:val="clear" w:color="auto" w:fill="FFFFFF"/>
        </w:rPr>
        <w:t xml:space="preserve"> “the right to appeal the judgement to a higher court.”</w:t>
      </w:r>
      <w:r w:rsidR="0019226A" w:rsidRPr="00F33937">
        <w:rPr>
          <w:rStyle w:val="FootnoteReference"/>
          <w:rFonts w:ascii="Times New Roman" w:hAnsi="Times New Roman" w:cs="Times New Roman"/>
          <w:sz w:val="24"/>
          <w:szCs w:val="24"/>
          <w:shd w:val="clear" w:color="auto" w:fill="FFFFFF"/>
        </w:rPr>
        <w:footnoteReference w:id="92"/>
      </w:r>
      <w:r w:rsidR="001614E3" w:rsidRPr="00F33937">
        <w:rPr>
          <w:rFonts w:ascii="Times New Roman" w:hAnsi="Times New Roman" w:cs="Times New Roman"/>
          <w:sz w:val="24"/>
          <w:szCs w:val="24"/>
          <w:shd w:val="clear" w:color="auto" w:fill="FFFFFF"/>
        </w:rPr>
        <w:t xml:space="preserve">  </w:t>
      </w:r>
      <w:r w:rsidR="00220594" w:rsidRPr="00F33937">
        <w:rPr>
          <w:rFonts w:ascii="Times New Roman" w:hAnsi="Times New Roman" w:cs="Times New Roman"/>
          <w:sz w:val="24"/>
          <w:szCs w:val="24"/>
          <w:shd w:val="clear" w:color="auto" w:fill="FFFFFF"/>
        </w:rPr>
        <w:t xml:space="preserve"> </w:t>
      </w:r>
      <w:r w:rsidR="00245816" w:rsidRPr="00F33937">
        <w:rPr>
          <w:rFonts w:ascii="Times New Roman" w:hAnsi="Times New Roman" w:cs="Times New Roman"/>
          <w:sz w:val="24"/>
          <w:szCs w:val="24"/>
          <w:shd w:val="clear" w:color="auto" w:fill="FFFFFF"/>
        </w:rPr>
        <w:t xml:space="preserve"> </w:t>
      </w:r>
      <w:r w:rsidR="00220594" w:rsidRPr="00F33937">
        <w:rPr>
          <w:rFonts w:ascii="Times New Roman" w:hAnsi="Times New Roman" w:cs="Times New Roman"/>
          <w:sz w:val="24"/>
          <w:szCs w:val="24"/>
          <w:shd w:val="clear" w:color="auto" w:fill="FFFFFF"/>
        </w:rPr>
        <w:t xml:space="preserve"> </w:t>
      </w:r>
    </w:p>
    <w:p w14:paraId="1B3F8E87" w14:textId="20369A48" w:rsidR="00C844A9" w:rsidRPr="00F33937" w:rsidRDefault="001614E3" w:rsidP="003B62D2">
      <w:pPr>
        <w:spacing w:after="0" w:line="480" w:lineRule="auto"/>
        <w:contextualSpacing/>
        <w:rPr>
          <w:rFonts w:ascii="Times New Roman" w:hAnsi="Times New Roman" w:cs="Times New Roman"/>
          <w:sz w:val="24"/>
          <w:szCs w:val="24"/>
          <w:shd w:val="clear" w:color="auto" w:fill="FFFFFF"/>
        </w:rPr>
      </w:pPr>
      <w:r w:rsidRPr="00F33937">
        <w:rPr>
          <w:rFonts w:ascii="Times New Roman" w:hAnsi="Times New Roman" w:cs="Times New Roman"/>
          <w:sz w:val="24"/>
          <w:szCs w:val="24"/>
          <w:shd w:val="clear" w:color="auto" w:fill="FFFFFF"/>
        </w:rPr>
        <w:tab/>
      </w:r>
      <w:r w:rsidR="00B2318D" w:rsidRPr="00F33937">
        <w:rPr>
          <w:rFonts w:ascii="Times New Roman" w:hAnsi="Times New Roman" w:cs="Times New Roman"/>
          <w:sz w:val="24"/>
          <w:szCs w:val="24"/>
          <w:shd w:val="clear" w:color="auto" w:fill="FFFFFF"/>
        </w:rPr>
        <w:t>I</w:t>
      </w:r>
      <w:r w:rsidR="00601154" w:rsidRPr="00F33937">
        <w:rPr>
          <w:rFonts w:ascii="Times New Roman" w:hAnsi="Times New Roman" w:cs="Times New Roman"/>
          <w:sz w:val="24"/>
          <w:szCs w:val="24"/>
          <w:shd w:val="clear" w:color="auto" w:fill="FFFFFF"/>
        </w:rPr>
        <w:t>n creating</w:t>
      </w:r>
      <w:r w:rsidR="00A51499">
        <w:rPr>
          <w:rFonts w:ascii="Times New Roman" w:hAnsi="Times New Roman" w:cs="Times New Roman"/>
          <w:sz w:val="24"/>
          <w:szCs w:val="24"/>
          <w:shd w:val="clear" w:color="auto" w:fill="FFFFFF"/>
        </w:rPr>
        <w:t xml:space="preserve"> a representation-deficient s</w:t>
      </w:r>
      <w:r w:rsidR="00601154" w:rsidRPr="00F33937">
        <w:rPr>
          <w:rFonts w:ascii="Times New Roman" w:hAnsi="Times New Roman" w:cs="Times New Roman"/>
          <w:sz w:val="24"/>
          <w:szCs w:val="24"/>
          <w:shd w:val="clear" w:color="auto" w:fill="FFFFFF"/>
        </w:rPr>
        <w:t>tructure,</w:t>
      </w:r>
      <w:r w:rsidR="007D10F1" w:rsidRPr="00F33937">
        <w:rPr>
          <w:rFonts w:ascii="Times New Roman" w:hAnsi="Times New Roman" w:cs="Times New Roman"/>
          <w:sz w:val="24"/>
          <w:szCs w:val="24"/>
          <w:shd w:val="clear" w:color="auto" w:fill="FFFFFF"/>
        </w:rPr>
        <w:t xml:space="preserve"> </w:t>
      </w:r>
      <w:r w:rsidR="004176D0" w:rsidRPr="00F33937">
        <w:rPr>
          <w:rFonts w:ascii="Times New Roman" w:hAnsi="Times New Roman" w:cs="Times New Roman"/>
          <w:sz w:val="24"/>
          <w:szCs w:val="24"/>
          <w:shd w:val="clear" w:color="auto" w:fill="FFFFFF"/>
        </w:rPr>
        <w:t xml:space="preserve">OAS </w:t>
      </w:r>
      <w:r w:rsidR="007D10F1" w:rsidRPr="00F33937">
        <w:rPr>
          <w:rFonts w:ascii="Times New Roman" w:hAnsi="Times New Roman" w:cs="Times New Roman"/>
          <w:sz w:val="24"/>
          <w:szCs w:val="24"/>
          <w:shd w:val="clear" w:color="auto" w:fill="FFFFFF"/>
        </w:rPr>
        <w:t>Member State Charechia</w:t>
      </w:r>
      <w:r w:rsidR="00E83BD6" w:rsidRPr="00F33937">
        <w:rPr>
          <w:rFonts w:ascii="Times New Roman" w:hAnsi="Times New Roman" w:cs="Times New Roman"/>
          <w:sz w:val="24"/>
          <w:szCs w:val="24"/>
          <w:shd w:val="clear" w:color="auto" w:fill="FFFFFF"/>
        </w:rPr>
        <w:t xml:space="preserve"> discriminated</w:t>
      </w:r>
      <w:r w:rsidR="007D10F1" w:rsidRPr="00F33937">
        <w:rPr>
          <w:rFonts w:ascii="Times New Roman" w:hAnsi="Times New Roman" w:cs="Times New Roman"/>
          <w:sz w:val="24"/>
          <w:szCs w:val="24"/>
          <w:shd w:val="clear" w:color="auto" w:fill="FFFFFF"/>
        </w:rPr>
        <w:t xml:space="preserve"> against the poorer areas of its</w:t>
      </w:r>
      <w:r w:rsidR="00601154" w:rsidRPr="00F33937">
        <w:rPr>
          <w:rFonts w:ascii="Times New Roman" w:hAnsi="Times New Roman" w:cs="Times New Roman"/>
          <w:sz w:val="24"/>
          <w:szCs w:val="24"/>
          <w:shd w:val="clear" w:color="auto" w:fill="FFFFFF"/>
        </w:rPr>
        <w:t xml:space="preserve"> c</w:t>
      </w:r>
      <w:r w:rsidR="00991889" w:rsidRPr="00F33937">
        <w:rPr>
          <w:rFonts w:ascii="Times New Roman" w:hAnsi="Times New Roman" w:cs="Times New Roman"/>
          <w:sz w:val="24"/>
          <w:szCs w:val="24"/>
          <w:shd w:val="clear" w:color="auto" w:fill="FFFFFF"/>
        </w:rPr>
        <w:t xml:space="preserve">ountry.  </w:t>
      </w:r>
      <w:r w:rsidR="00E2753D" w:rsidRPr="00F33937">
        <w:rPr>
          <w:rFonts w:ascii="Times New Roman" w:hAnsi="Times New Roman" w:cs="Times New Roman"/>
          <w:sz w:val="24"/>
          <w:szCs w:val="24"/>
          <w:shd w:val="clear" w:color="auto" w:fill="FFFFFF"/>
        </w:rPr>
        <w:t>Similar to its</w:t>
      </w:r>
      <w:r w:rsidR="00B27041" w:rsidRPr="00F33937">
        <w:rPr>
          <w:rFonts w:ascii="Times New Roman" w:hAnsi="Times New Roman" w:cs="Times New Roman"/>
          <w:sz w:val="24"/>
          <w:szCs w:val="24"/>
          <w:shd w:val="clear" w:color="auto" w:fill="FFFFFF"/>
        </w:rPr>
        <w:t xml:space="preserve"> legislature’s</w:t>
      </w:r>
      <w:r w:rsidR="001F0436" w:rsidRPr="00F33937">
        <w:rPr>
          <w:rFonts w:ascii="Times New Roman" w:hAnsi="Times New Roman" w:cs="Times New Roman"/>
          <w:sz w:val="24"/>
          <w:szCs w:val="24"/>
          <w:shd w:val="clear" w:color="auto" w:fill="FFFFFF"/>
        </w:rPr>
        <w:t xml:space="preserve"> </w:t>
      </w:r>
      <w:r w:rsidR="00BD4237" w:rsidRPr="00F33937">
        <w:rPr>
          <w:rFonts w:ascii="Times New Roman" w:hAnsi="Times New Roman" w:cs="Times New Roman"/>
          <w:sz w:val="24"/>
          <w:szCs w:val="24"/>
          <w:shd w:val="clear" w:color="auto" w:fill="FFFFFF"/>
        </w:rPr>
        <w:t>at-large seats</w:t>
      </w:r>
      <w:r w:rsidR="007D10F1" w:rsidRPr="00F33937">
        <w:rPr>
          <w:rFonts w:ascii="Times New Roman" w:hAnsi="Times New Roman" w:cs="Times New Roman"/>
          <w:sz w:val="24"/>
          <w:szCs w:val="24"/>
          <w:shd w:val="clear" w:color="auto" w:fill="FFFFFF"/>
        </w:rPr>
        <w:t xml:space="preserve"> </w:t>
      </w:r>
      <w:r w:rsidR="001F0436" w:rsidRPr="00F33937">
        <w:rPr>
          <w:rFonts w:ascii="Times New Roman" w:hAnsi="Times New Roman" w:cs="Times New Roman"/>
          <w:sz w:val="24"/>
          <w:szCs w:val="24"/>
          <w:shd w:val="clear" w:color="auto" w:fill="FFFFFF"/>
        </w:rPr>
        <w:t>system</w:t>
      </w:r>
      <w:r w:rsidR="00E2753D" w:rsidRPr="00F33937">
        <w:rPr>
          <w:rFonts w:ascii="Times New Roman" w:hAnsi="Times New Roman" w:cs="Times New Roman"/>
          <w:sz w:val="24"/>
          <w:szCs w:val="24"/>
          <w:shd w:val="clear" w:color="auto" w:fill="FFFFFF"/>
        </w:rPr>
        <w:t>,</w:t>
      </w:r>
      <w:r w:rsidR="00991889" w:rsidRPr="00F33937">
        <w:rPr>
          <w:rStyle w:val="FootnoteReference"/>
          <w:rFonts w:ascii="Times New Roman" w:hAnsi="Times New Roman" w:cs="Times New Roman"/>
          <w:sz w:val="24"/>
          <w:szCs w:val="24"/>
          <w:shd w:val="clear" w:color="auto" w:fill="FFFFFF"/>
        </w:rPr>
        <w:footnoteReference w:id="93"/>
      </w:r>
      <w:r w:rsidR="00E2753D" w:rsidRPr="00F33937">
        <w:rPr>
          <w:rFonts w:ascii="Times New Roman" w:hAnsi="Times New Roman" w:cs="Times New Roman"/>
          <w:sz w:val="24"/>
          <w:szCs w:val="24"/>
          <w:shd w:val="clear" w:color="auto" w:fill="FFFFFF"/>
        </w:rPr>
        <w:t xml:space="preserve"> the</w:t>
      </w:r>
      <w:r w:rsidR="00BD4237" w:rsidRPr="00F33937">
        <w:rPr>
          <w:rFonts w:ascii="Times New Roman" w:hAnsi="Times New Roman" w:cs="Times New Roman"/>
          <w:sz w:val="24"/>
          <w:szCs w:val="24"/>
          <w:shd w:val="clear" w:color="auto" w:fill="FFFFFF"/>
        </w:rPr>
        <w:t xml:space="preserve"> go</w:t>
      </w:r>
      <w:r w:rsidR="00991889" w:rsidRPr="00F33937">
        <w:rPr>
          <w:rFonts w:ascii="Times New Roman" w:hAnsi="Times New Roman" w:cs="Times New Roman"/>
          <w:sz w:val="24"/>
          <w:szCs w:val="24"/>
          <w:shd w:val="clear" w:color="auto" w:fill="FFFFFF"/>
        </w:rPr>
        <w:t>vernment has effected</w:t>
      </w:r>
      <w:r w:rsidR="00BD4237" w:rsidRPr="00F33937">
        <w:rPr>
          <w:rFonts w:ascii="Times New Roman" w:hAnsi="Times New Roman" w:cs="Times New Roman"/>
          <w:sz w:val="24"/>
          <w:szCs w:val="24"/>
          <w:shd w:val="clear" w:color="auto" w:fill="FFFFFF"/>
        </w:rPr>
        <w:t xml:space="preserve"> discrimi</w:t>
      </w:r>
      <w:r w:rsidR="002B28BE" w:rsidRPr="00F33937">
        <w:rPr>
          <w:rFonts w:ascii="Times New Roman" w:hAnsi="Times New Roman" w:cs="Times New Roman"/>
          <w:sz w:val="24"/>
          <w:szCs w:val="24"/>
          <w:shd w:val="clear" w:color="auto" w:fill="FFFFFF"/>
        </w:rPr>
        <w:t>nation by limiting access to its</w:t>
      </w:r>
      <w:r w:rsidR="00BD4237" w:rsidRPr="00F33937">
        <w:rPr>
          <w:rFonts w:ascii="Times New Roman" w:hAnsi="Times New Roman" w:cs="Times New Roman"/>
          <w:sz w:val="24"/>
          <w:szCs w:val="24"/>
          <w:shd w:val="clear" w:color="auto" w:fill="FFFFFF"/>
        </w:rPr>
        <w:t xml:space="preserve"> federal judiciary </w:t>
      </w:r>
      <w:r w:rsidR="00E2753D" w:rsidRPr="00F33937">
        <w:rPr>
          <w:rFonts w:ascii="Times New Roman" w:hAnsi="Times New Roman" w:cs="Times New Roman"/>
          <w:sz w:val="24"/>
          <w:szCs w:val="24"/>
          <w:shd w:val="clear" w:color="auto" w:fill="FFFFFF"/>
        </w:rPr>
        <w:t xml:space="preserve">to </w:t>
      </w:r>
      <w:r w:rsidR="00E2753D" w:rsidRPr="00F33937">
        <w:rPr>
          <w:rFonts w:ascii="Times New Roman" w:hAnsi="Times New Roman" w:cs="Times New Roman"/>
          <w:sz w:val="24"/>
          <w:szCs w:val="24"/>
          <w:shd w:val="clear" w:color="auto" w:fill="FFFFFF"/>
        </w:rPr>
        <w:lastRenderedPageBreak/>
        <w:t>the Republic’s t</w:t>
      </w:r>
      <w:r w:rsidR="00BD4237" w:rsidRPr="00F33937">
        <w:rPr>
          <w:rFonts w:ascii="Times New Roman" w:hAnsi="Times New Roman" w:cs="Times New Roman"/>
          <w:sz w:val="24"/>
          <w:szCs w:val="24"/>
          <w:shd w:val="clear" w:color="auto" w:fill="FFFFFF"/>
        </w:rPr>
        <w:t xml:space="preserve">wo richest provinces:  </w:t>
      </w:r>
      <w:r w:rsidR="00E2753D" w:rsidRPr="00F33937">
        <w:rPr>
          <w:rFonts w:ascii="Times New Roman" w:hAnsi="Times New Roman" w:cs="Times New Roman"/>
          <w:sz w:val="24"/>
          <w:szCs w:val="24"/>
          <w:shd w:val="clear" w:color="auto" w:fill="FFFFFF"/>
        </w:rPr>
        <w:t>T</w:t>
      </w:r>
      <w:r w:rsidR="007D10F1" w:rsidRPr="00F33937">
        <w:rPr>
          <w:rFonts w:ascii="Times New Roman" w:hAnsi="Times New Roman" w:cs="Times New Roman"/>
          <w:sz w:val="24"/>
          <w:szCs w:val="24"/>
          <w:shd w:val="clear" w:color="auto" w:fill="FFFFFF"/>
        </w:rPr>
        <w:t xml:space="preserve">he State has established </w:t>
      </w:r>
      <w:r w:rsidR="00BD4237" w:rsidRPr="00F33937">
        <w:rPr>
          <w:rFonts w:ascii="Times New Roman" w:hAnsi="Times New Roman" w:cs="Times New Roman"/>
          <w:sz w:val="24"/>
          <w:szCs w:val="24"/>
          <w:shd w:val="clear" w:color="auto" w:fill="FFFFFF"/>
        </w:rPr>
        <w:t>secondary co</w:t>
      </w:r>
      <w:r w:rsidR="00401026" w:rsidRPr="00F33937">
        <w:rPr>
          <w:rFonts w:ascii="Times New Roman" w:hAnsi="Times New Roman" w:cs="Times New Roman"/>
          <w:sz w:val="24"/>
          <w:szCs w:val="24"/>
          <w:shd w:val="clear" w:color="auto" w:fill="FFFFFF"/>
        </w:rPr>
        <w:t xml:space="preserve">urts in only Charechia Noresta and </w:t>
      </w:r>
      <w:r w:rsidR="00BD4237" w:rsidRPr="00F33937">
        <w:rPr>
          <w:rFonts w:ascii="Times New Roman" w:hAnsi="Times New Roman" w:cs="Times New Roman"/>
          <w:sz w:val="24"/>
          <w:szCs w:val="24"/>
          <w:shd w:val="clear" w:color="auto" w:fill="FFFFFF"/>
        </w:rPr>
        <w:t>Charechia Maior.</w:t>
      </w:r>
      <w:r w:rsidR="00BD4237" w:rsidRPr="00F33937">
        <w:rPr>
          <w:rStyle w:val="FootnoteReference"/>
          <w:rFonts w:ascii="Times New Roman" w:hAnsi="Times New Roman" w:cs="Times New Roman"/>
          <w:sz w:val="24"/>
          <w:szCs w:val="24"/>
          <w:shd w:val="clear" w:color="auto" w:fill="FFFFFF"/>
        </w:rPr>
        <w:footnoteReference w:id="94"/>
      </w:r>
      <w:r w:rsidR="00203E86" w:rsidRPr="00F33937">
        <w:rPr>
          <w:rFonts w:ascii="Times New Roman" w:hAnsi="Times New Roman" w:cs="Times New Roman"/>
          <w:sz w:val="24"/>
          <w:szCs w:val="24"/>
          <w:shd w:val="clear" w:color="auto" w:fill="FFFFFF"/>
        </w:rPr>
        <w:t xml:space="preserve">  </w:t>
      </w:r>
      <w:r w:rsidR="00C844A9" w:rsidRPr="00F33937">
        <w:rPr>
          <w:rFonts w:ascii="Times New Roman" w:hAnsi="Times New Roman" w:cs="Times New Roman"/>
          <w:sz w:val="24"/>
          <w:szCs w:val="24"/>
          <w:shd w:val="clear" w:color="auto" w:fill="FFFFFF"/>
        </w:rPr>
        <w:t>W</w:t>
      </w:r>
      <w:r w:rsidR="00BF22D9" w:rsidRPr="00F33937">
        <w:rPr>
          <w:rFonts w:ascii="Times New Roman" w:hAnsi="Times New Roman" w:cs="Times New Roman"/>
          <w:sz w:val="24"/>
          <w:szCs w:val="24"/>
          <w:shd w:val="clear" w:color="auto" w:fill="FFFFFF"/>
        </w:rPr>
        <w:t>i</w:t>
      </w:r>
      <w:r w:rsidR="00A51499">
        <w:rPr>
          <w:rFonts w:ascii="Times New Roman" w:hAnsi="Times New Roman" w:cs="Times New Roman"/>
          <w:sz w:val="24"/>
          <w:szCs w:val="24"/>
          <w:shd w:val="clear" w:color="auto" w:fill="FFFFFF"/>
        </w:rPr>
        <w:t xml:space="preserve">th this structure, despite </w:t>
      </w:r>
      <w:r w:rsidR="00B27041" w:rsidRPr="00F33937">
        <w:rPr>
          <w:rFonts w:ascii="Times New Roman" w:hAnsi="Times New Roman" w:cs="Times New Roman"/>
          <w:sz w:val="24"/>
          <w:szCs w:val="24"/>
          <w:shd w:val="clear" w:color="auto" w:fill="FFFFFF"/>
        </w:rPr>
        <w:t>citizenry</w:t>
      </w:r>
      <w:r w:rsidR="00BF22D9" w:rsidRPr="00F33937">
        <w:rPr>
          <w:rFonts w:ascii="Times New Roman" w:hAnsi="Times New Roman" w:cs="Times New Roman"/>
          <w:sz w:val="24"/>
          <w:szCs w:val="24"/>
          <w:shd w:val="clear" w:color="auto" w:fill="FFFFFF"/>
        </w:rPr>
        <w:t xml:space="preserve"> need</w:t>
      </w:r>
      <w:r w:rsidR="00B27041" w:rsidRPr="00F33937">
        <w:rPr>
          <w:rFonts w:ascii="Times New Roman" w:hAnsi="Times New Roman" w:cs="Times New Roman"/>
          <w:sz w:val="24"/>
          <w:szCs w:val="24"/>
          <w:shd w:val="clear" w:color="auto" w:fill="FFFFFF"/>
        </w:rPr>
        <w:t>s</w:t>
      </w:r>
      <w:r w:rsidR="00BF22D9" w:rsidRPr="00F33937">
        <w:rPr>
          <w:rFonts w:ascii="Times New Roman" w:hAnsi="Times New Roman" w:cs="Times New Roman"/>
          <w:sz w:val="24"/>
          <w:szCs w:val="24"/>
          <w:shd w:val="clear" w:color="auto" w:fill="FFFFFF"/>
        </w:rPr>
        <w:t xml:space="preserve"> to </w:t>
      </w:r>
      <w:r w:rsidR="00C844A9" w:rsidRPr="00F33937">
        <w:rPr>
          <w:rFonts w:ascii="Times New Roman" w:hAnsi="Times New Roman" w:cs="Times New Roman"/>
          <w:sz w:val="24"/>
          <w:szCs w:val="24"/>
          <w:shd w:val="clear" w:color="auto" w:fill="FFFFFF"/>
        </w:rPr>
        <w:t>appeal</w:t>
      </w:r>
      <w:r w:rsidR="00203E86" w:rsidRPr="00F33937">
        <w:rPr>
          <w:rFonts w:ascii="Times New Roman" w:hAnsi="Times New Roman" w:cs="Times New Roman"/>
          <w:sz w:val="24"/>
          <w:szCs w:val="24"/>
          <w:shd w:val="clear" w:color="auto" w:fill="FFFFFF"/>
        </w:rPr>
        <w:t xml:space="preserve"> </w:t>
      </w:r>
      <w:r w:rsidR="00677628" w:rsidRPr="00F33937">
        <w:rPr>
          <w:rFonts w:ascii="Times New Roman" w:hAnsi="Times New Roman" w:cs="Times New Roman"/>
          <w:sz w:val="24"/>
          <w:szCs w:val="24"/>
          <w:shd w:val="clear" w:color="auto" w:fill="FFFFFF"/>
        </w:rPr>
        <w:t xml:space="preserve">decisions by </w:t>
      </w:r>
      <w:r w:rsidR="00BF22D9" w:rsidRPr="00F33937">
        <w:rPr>
          <w:rFonts w:ascii="Times New Roman" w:hAnsi="Times New Roman" w:cs="Times New Roman"/>
          <w:sz w:val="24"/>
          <w:szCs w:val="24"/>
          <w:shd w:val="clear" w:color="auto" w:fill="FFFFFF"/>
        </w:rPr>
        <w:t xml:space="preserve">courts of first instance, </w:t>
      </w:r>
      <w:r w:rsidR="00203E86" w:rsidRPr="00F33937">
        <w:rPr>
          <w:rFonts w:ascii="Times New Roman" w:hAnsi="Times New Roman" w:cs="Times New Roman"/>
          <w:sz w:val="24"/>
          <w:szCs w:val="24"/>
          <w:shd w:val="clear" w:color="auto" w:fill="FFFFFF"/>
        </w:rPr>
        <w:t>the State appears to have forgotten Western C</w:t>
      </w:r>
      <w:r w:rsidR="00262976" w:rsidRPr="00F33937">
        <w:rPr>
          <w:rFonts w:ascii="Times New Roman" w:hAnsi="Times New Roman" w:cs="Times New Roman"/>
          <w:sz w:val="24"/>
          <w:szCs w:val="24"/>
          <w:shd w:val="clear" w:color="auto" w:fill="FFFFFF"/>
        </w:rPr>
        <w:t>harechia, the home of the Petitioners.</w:t>
      </w:r>
      <w:r w:rsidR="005A4EF5" w:rsidRPr="00F33937">
        <w:rPr>
          <w:rStyle w:val="FootnoteReference"/>
          <w:rFonts w:ascii="Times New Roman" w:hAnsi="Times New Roman" w:cs="Times New Roman"/>
          <w:sz w:val="24"/>
          <w:szCs w:val="24"/>
          <w:shd w:val="clear" w:color="auto" w:fill="FFFFFF"/>
        </w:rPr>
        <w:footnoteReference w:id="95"/>
      </w:r>
      <w:r w:rsidRPr="00F33937">
        <w:rPr>
          <w:rFonts w:ascii="Times New Roman" w:hAnsi="Times New Roman" w:cs="Times New Roman"/>
          <w:sz w:val="24"/>
          <w:szCs w:val="24"/>
          <w:shd w:val="clear" w:color="auto" w:fill="FFFFFF"/>
        </w:rPr>
        <w:t xml:space="preserve">  </w:t>
      </w:r>
    </w:p>
    <w:p w14:paraId="78444967" w14:textId="45293B98" w:rsidR="00AB43CA" w:rsidRPr="00F33937" w:rsidRDefault="00C844A9" w:rsidP="003B62D2">
      <w:pPr>
        <w:spacing w:after="0" w:line="480" w:lineRule="auto"/>
        <w:contextualSpacing/>
        <w:rPr>
          <w:rFonts w:ascii="Times New Roman" w:hAnsi="Times New Roman" w:cs="Times New Roman"/>
          <w:sz w:val="24"/>
          <w:szCs w:val="24"/>
          <w:shd w:val="clear" w:color="auto" w:fill="FFFFFF"/>
        </w:rPr>
      </w:pPr>
      <w:r w:rsidRPr="00F33937">
        <w:rPr>
          <w:rFonts w:ascii="Times New Roman" w:hAnsi="Times New Roman" w:cs="Times New Roman"/>
          <w:sz w:val="24"/>
          <w:szCs w:val="24"/>
          <w:shd w:val="clear" w:color="auto" w:fill="FFFFFF"/>
        </w:rPr>
        <w:tab/>
      </w:r>
      <w:r w:rsidR="005B7002" w:rsidRPr="00F33937">
        <w:rPr>
          <w:rFonts w:ascii="Times New Roman" w:hAnsi="Times New Roman" w:cs="Times New Roman"/>
          <w:sz w:val="24"/>
          <w:szCs w:val="24"/>
          <w:shd w:val="clear" w:color="auto" w:fill="FFFFFF"/>
        </w:rPr>
        <w:t>Se</w:t>
      </w:r>
      <w:r w:rsidR="001614E3" w:rsidRPr="00F33937">
        <w:rPr>
          <w:rFonts w:ascii="Times New Roman" w:hAnsi="Times New Roman" w:cs="Times New Roman"/>
          <w:sz w:val="24"/>
          <w:szCs w:val="24"/>
          <w:shd w:val="clear" w:color="auto" w:fill="FFFFFF"/>
        </w:rPr>
        <w:t xml:space="preserve">rgio García-Ramirez, serving as IACHR judge since 1997, </w:t>
      </w:r>
      <w:r w:rsidR="005B7002" w:rsidRPr="00F33937">
        <w:rPr>
          <w:rFonts w:ascii="Times New Roman" w:hAnsi="Times New Roman" w:cs="Times New Roman"/>
          <w:sz w:val="24"/>
          <w:szCs w:val="24"/>
          <w:shd w:val="clear" w:color="auto" w:fill="FFFFFF"/>
        </w:rPr>
        <w:t xml:space="preserve">explained in </w:t>
      </w:r>
      <w:r w:rsidR="005F22A7" w:rsidRPr="00F33937">
        <w:rPr>
          <w:rFonts w:ascii="Times New Roman" w:hAnsi="Times New Roman" w:cs="Times New Roman"/>
          <w:sz w:val="24"/>
          <w:szCs w:val="24"/>
          <w:shd w:val="clear" w:color="auto" w:fill="FFFFFF"/>
        </w:rPr>
        <w:t xml:space="preserve">an </w:t>
      </w:r>
      <w:r w:rsidR="005B7002" w:rsidRPr="00F33937">
        <w:rPr>
          <w:rFonts w:ascii="Times New Roman" w:hAnsi="Times New Roman" w:cs="Times New Roman"/>
          <w:sz w:val="24"/>
          <w:szCs w:val="24"/>
          <w:shd w:val="clear" w:color="auto" w:fill="FFFFFF"/>
        </w:rPr>
        <w:t>Advisory Opinion</w:t>
      </w:r>
      <w:r w:rsidR="006E1164" w:rsidRPr="00F33937">
        <w:rPr>
          <w:rFonts w:ascii="Times New Roman" w:hAnsi="Times New Roman" w:cs="Times New Roman"/>
          <w:sz w:val="24"/>
          <w:szCs w:val="24"/>
          <w:shd w:val="clear" w:color="auto" w:fill="FFFFFF"/>
        </w:rPr>
        <w:t xml:space="preserve"> </w:t>
      </w:r>
      <w:r w:rsidRPr="00F33937">
        <w:rPr>
          <w:rFonts w:ascii="Times New Roman" w:hAnsi="Times New Roman" w:cs="Times New Roman"/>
          <w:sz w:val="24"/>
          <w:szCs w:val="24"/>
          <w:shd w:val="clear" w:color="auto" w:fill="FFFFFF"/>
        </w:rPr>
        <w:t xml:space="preserve">to the United Mexican States </w:t>
      </w:r>
      <w:r w:rsidR="005F22A7" w:rsidRPr="00F33937">
        <w:rPr>
          <w:rFonts w:ascii="Times New Roman" w:hAnsi="Times New Roman" w:cs="Times New Roman"/>
          <w:sz w:val="24"/>
          <w:szCs w:val="24"/>
          <w:shd w:val="clear" w:color="auto" w:fill="FFFFFF"/>
        </w:rPr>
        <w:t>that</w:t>
      </w:r>
      <w:r w:rsidR="00111354" w:rsidRPr="00F33937">
        <w:rPr>
          <w:rFonts w:ascii="Times New Roman" w:hAnsi="Times New Roman" w:cs="Times New Roman"/>
          <w:sz w:val="24"/>
          <w:szCs w:val="24"/>
          <w:shd w:val="clear" w:color="auto" w:fill="FFFFFF"/>
        </w:rPr>
        <w:t xml:space="preserve"> OAS Members States’ </w:t>
      </w:r>
      <w:r w:rsidR="005F22A7" w:rsidRPr="00F33937">
        <w:rPr>
          <w:rFonts w:ascii="Times New Roman" w:hAnsi="Times New Roman" w:cs="Times New Roman"/>
          <w:sz w:val="24"/>
          <w:szCs w:val="24"/>
          <w:shd w:val="clear" w:color="auto" w:fill="FFFFFF"/>
        </w:rPr>
        <w:t>“</w:t>
      </w:r>
      <w:r w:rsidR="00111354" w:rsidRPr="00F33937">
        <w:rPr>
          <w:rFonts w:ascii="Times New Roman" w:hAnsi="Times New Roman" w:cs="Times New Roman"/>
          <w:sz w:val="24"/>
          <w:szCs w:val="24"/>
          <w:shd w:val="clear" w:color="auto" w:fill="FFFFFF"/>
        </w:rPr>
        <w:t>obligation . . . to benefit the persons under their respective jurisdictions . . . include[es] the right to judicial guarantees.</w:t>
      </w:r>
      <w:r w:rsidR="00830777" w:rsidRPr="00F33937">
        <w:rPr>
          <w:rFonts w:ascii="Times New Roman" w:hAnsi="Times New Roman" w:cs="Times New Roman"/>
          <w:sz w:val="24"/>
          <w:szCs w:val="24"/>
          <w:shd w:val="clear" w:color="auto" w:fill="FFFFFF"/>
        </w:rPr>
        <w:t xml:space="preserve">  T</w:t>
      </w:r>
      <w:r w:rsidR="00111354" w:rsidRPr="00F33937">
        <w:rPr>
          <w:rFonts w:ascii="Times New Roman" w:hAnsi="Times New Roman" w:cs="Times New Roman"/>
          <w:sz w:val="24"/>
          <w:szCs w:val="24"/>
          <w:shd w:val="clear" w:color="auto" w:fill="FFFFFF"/>
        </w:rPr>
        <w:t>he right of access to justice for all persons is</w:t>
      </w:r>
      <w:r w:rsidR="00830777" w:rsidRPr="00F33937">
        <w:rPr>
          <w:rFonts w:ascii="Times New Roman" w:hAnsi="Times New Roman" w:cs="Times New Roman"/>
          <w:sz w:val="24"/>
          <w:szCs w:val="24"/>
          <w:shd w:val="clear" w:color="auto" w:fill="FFFFFF"/>
        </w:rPr>
        <w:t xml:space="preserve"> to be</w:t>
      </w:r>
      <w:r w:rsidR="00111354" w:rsidRPr="00F33937">
        <w:rPr>
          <w:rFonts w:ascii="Times New Roman" w:hAnsi="Times New Roman" w:cs="Times New Roman"/>
          <w:sz w:val="24"/>
          <w:szCs w:val="24"/>
          <w:shd w:val="clear" w:color="auto" w:fill="FFFFFF"/>
        </w:rPr>
        <w:t xml:space="preserve"> preserved, understood as their rig</w:t>
      </w:r>
      <w:r w:rsidR="002B28BE" w:rsidRPr="00F33937">
        <w:rPr>
          <w:rFonts w:ascii="Times New Roman" w:hAnsi="Times New Roman" w:cs="Times New Roman"/>
          <w:sz w:val="24"/>
          <w:szCs w:val="24"/>
          <w:shd w:val="clear" w:color="auto" w:fill="FFFFFF"/>
        </w:rPr>
        <w:t>ht</w:t>
      </w:r>
      <w:r w:rsidR="00111354" w:rsidRPr="00F33937">
        <w:rPr>
          <w:rFonts w:ascii="Times New Roman" w:hAnsi="Times New Roman" w:cs="Times New Roman"/>
          <w:sz w:val="24"/>
          <w:szCs w:val="24"/>
          <w:shd w:val="clear" w:color="auto" w:fill="FFFFFF"/>
        </w:rPr>
        <w:t xml:space="preserve"> to effective jurisdictional protection.”</w:t>
      </w:r>
      <w:r w:rsidR="00D53096" w:rsidRPr="00F33937">
        <w:rPr>
          <w:rStyle w:val="FootnoteReference"/>
          <w:rFonts w:ascii="Times New Roman" w:hAnsi="Times New Roman" w:cs="Times New Roman"/>
          <w:sz w:val="24"/>
          <w:szCs w:val="24"/>
          <w:shd w:val="clear" w:color="auto" w:fill="FFFFFF"/>
        </w:rPr>
        <w:footnoteReference w:id="96"/>
      </w:r>
      <w:r w:rsidR="00A477B0" w:rsidRPr="00F33937">
        <w:rPr>
          <w:rFonts w:ascii="Times New Roman" w:hAnsi="Times New Roman" w:cs="Times New Roman"/>
          <w:sz w:val="24"/>
          <w:szCs w:val="24"/>
          <w:shd w:val="clear" w:color="auto" w:fill="FFFFFF"/>
        </w:rPr>
        <w:t xml:space="preserve">  The Court’s pronouncement on the importance of “equal and rapid access to justice” </w:t>
      </w:r>
      <w:r w:rsidR="00A51EDB" w:rsidRPr="00F33937">
        <w:rPr>
          <w:rFonts w:ascii="Times New Roman" w:hAnsi="Times New Roman" w:cs="Times New Roman"/>
          <w:sz w:val="24"/>
          <w:szCs w:val="24"/>
          <w:shd w:val="clear" w:color="auto" w:fill="FFFFFF"/>
        </w:rPr>
        <w:t>was, in the instance of Mexico,</w:t>
      </w:r>
      <w:r w:rsidR="005F22A7" w:rsidRPr="00F33937">
        <w:rPr>
          <w:rFonts w:ascii="Times New Roman" w:hAnsi="Times New Roman" w:cs="Times New Roman"/>
          <w:sz w:val="24"/>
          <w:szCs w:val="24"/>
          <w:shd w:val="clear" w:color="auto" w:fill="FFFFFF"/>
        </w:rPr>
        <w:t xml:space="preserve"> demonstrated through rights for visiting laborers, and </w:t>
      </w:r>
      <w:r w:rsidR="00B17449" w:rsidRPr="00F33937">
        <w:rPr>
          <w:rFonts w:ascii="Times New Roman" w:hAnsi="Times New Roman" w:cs="Times New Roman"/>
          <w:sz w:val="24"/>
          <w:szCs w:val="24"/>
          <w:shd w:val="clear" w:color="auto" w:fill="FFFFFF"/>
        </w:rPr>
        <w:t>in the instant case</w:t>
      </w:r>
      <w:r w:rsidR="00A51EDB" w:rsidRPr="00F33937">
        <w:rPr>
          <w:rFonts w:ascii="Times New Roman" w:hAnsi="Times New Roman" w:cs="Times New Roman"/>
          <w:sz w:val="24"/>
          <w:szCs w:val="24"/>
          <w:shd w:val="clear" w:color="auto" w:fill="FFFFFF"/>
        </w:rPr>
        <w:t>—as Charechia is a Convention signatory—</w:t>
      </w:r>
      <w:r w:rsidR="00EB0C3B" w:rsidRPr="00F33937">
        <w:rPr>
          <w:rFonts w:ascii="Times New Roman" w:hAnsi="Times New Roman" w:cs="Times New Roman"/>
          <w:sz w:val="24"/>
          <w:szCs w:val="24"/>
          <w:shd w:val="clear" w:color="auto" w:fill="FFFFFF"/>
        </w:rPr>
        <w:t>such access to justice protections apply</w:t>
      </w:r>
      <w:r w:rsidR="00B17449" w:rsidRPr="00F33937">
        <w:rPr>
          <w:rFonts w:ascii="Times New Roman" w:hAnsi="Times New Roman" w:cs="Times New Roman"/>
          <w:sz w:val="24"/>
          <w:szCs w:val="24"/>
          <w:shd w:val="clear" w:color="auto" w:fill="FFFFFF"/>
        </w:rPr>
        <w:t xml:space="preserve"> to residents of the indigenous region of Western Charechia.  </w:t>
      </w:r>
      <w:r w:rsidR="000C2FAF" w:rsidRPr="00F33937">
        <w:rPr>
          <w:rFonts w:ascii="Times New Roman" w:hAnsi="Times New Roman" w:cs="Times New Roman"/>
          <w:sz w:val="24"/>
          <w:szCs w:val="24"/>
          <w:shd w:val="clear" w:color="auto" w:fill="FFFFFF"/>
        </w:rPr>
        <w:t>As with</w:t>
      </w:r>
      <w:r w:rsidR="005615AB" w:rsidRPr="00F33937">
        <w:rPr>
          <w:rFonts w:ascii="Times New Roman" w:hAnsi="Times New Roman" w:cs="Times New Roman"/>
          <w:sz w:val="24"/>
          <w:szCs w:val="24"/>
          <w:shd w:val="clear" w:color="auto" w:fill="FFFFFF"/>
        </w:rPr>
        <w:t xml:space="preserve"> all other international rights</w:t>
      </w:r>
      <w:r w:rsidR="004176D0" w:rsidRPr="00F33937">
        <w:rPr>
          <w:rFonts w:ascii="Times New Roman" w:hAnsi="Times New Roman" w:cs="Times New Roman"/>
          <w:sz w:val="24"/>
          <w:szCs w:val="24"/>
          <w:shd w:val="clear" w:color="auto" w:fill="FFFFFF"/>
        </w:rPr>
        <w:t xml:space="preserve"> acceded to</w:t>
      </w:r>
      <w:r w:rsidR="005615AB" w:rsidRPr="00F33937">
        <w:rPr>
          <w:rFonts w:ascii="Times New Roman" w:hAnsi="Times New Roman" w:cs="Times New Roman"/>
          <w:sz w:val="24"/>
          <w:szCs w:val="24"/>
          <w:shd w:val="clear" w:color="auto" w:fill="FFFFFF"/>
        </w:rPr>
        <w:t>,</w:t>
      </w:r>
      <w:r w:rsidR="000C2FAF" w:rsidRPr="00F33937">
        <w:rPr>
          <w:rFonts w:ascii="Times New Roman" w:hAnsi="Times New Roman" w:cs="Times New Roman"/>
          <w:sz w:val="24"/>
          <w:szCs w:val="24"/>
          <w:shd w:val="clear" w:color="auto" w:fill="FFFFFF"/>
        </w:rPr>
        <w:t xml:space="preserve"> concerning equal access to justice t</w:t>
      </w:r>
      <w:r w:rsidR="00EF6D48" w:rsidRPr="00F33937">
        <w:rPr>
          <w:rFonts w:ascii="Times New Roman" w:hAnsi="Times New Roman" w:cs="Times New Roman"/>
          <w:sz w:val="24"/>
          <w:szCs w:val="24"/>
          <w:shd w:val="clear" w:color="auto" w:fill="FFFFFF"/>
        </w:rPr>
        <w:t xml:space="preserve">he Court </w:t>
      </w:r>
      <w:r w:rsidR="00A477B0" w:rsidRPr="00F33937">
        <w:rPr>
          <w:rFonts w:ascii="Times New Roman" w:hAnsi="Times New Roman" w:cs="Times New Roman"/>
          <w:sz w:val="24"/>
          <w:szCs w:val="24"/>
          <w:shd w:val="clear" w:color="auto" w:fill="FFFFFF"/>
        </w:rPr>
        <w:t>can abide no discrimination—regional, economic, or otherwise.</w:t>
      </w:r>
      <w:r w:rsidR="00A477B0" w:rsidRPr="00F33937">
        <w:rPr>
          <w:rStyle w:val="FootnoteReference"/>
          <w:rFonts w:ascii="Times New Roman" w:hAnsi="Times New Roman" w:cs="Times New Roman"/>
          <w:sz w:val="24"/>
          <w:szCs w:val="24"/>
          <w:shd w:val="clear" w:color="auto" w:fill="FFFFFF"/>
        </w:rPr>
        <w:footnoteReference w:id="97"/>
      </w:r>
      <w:r w:rsidR="00496F08" w:rsidRPr="00F33937">
        <w:rPr>
          <w:rFonts w:ascii="Times New Roman" w:hAnsi="Times New Roman" w:cs="Times New Roman"/>
          <w:sz w:val="24"/>
          <w:szCs w:val="24"/>
          <w:shd w:val="clear" w:color="auto" w:fill="FFFFFF"/>
        </w:rPr>
        <w:t xml:space="preserve">  </w:t>
      </w:r>
    </w:p>
    <w:p w14:paraId="042677F8" w14:textId="20FEC4B5" w:rsidR="0085312A" w:rsidRPr="00F33937" w:rsidRDefault="00AB43CA" w:rsidP="003B62D2">
      <w:pPr>
        <w:spacing w:after="0" w:line="480" w:lineRule="auto"/>
        <w:contextualSpacing/>
        <w:rPr>
          <w:rFonts w:ascii="Times New Roman" w:hAnsi="Times New Roman" w:cs="Times New Roman"/>
          <w:sz w:val="24"/>
          <w:szCs w:val="24"/>
          <w:shd w:val="clear" w:color="auto" w:fill="FFFFFF"/>
        </w:rPr>
      </w:pPr>
      <w:r w:rsidRPr="00F33937">
        <w:rPr>
          <w:rFonts w:ascii="Times New Roman" w:hAnsi="Times New Roman" w:cs="Times New Roman"/>
          <w:sz w:val="24"/>
          <w:szCs w:val="24"/>
          <w:shd w:val="clear" w:color="auto" w:fill="FFFFFF"/>
        </w:rPr>
        <w:tab/>
      </w:r>
      <w:r w:rsidR="00557D1C" w:rsidRPr="00F33937">
        <w:rPr>
          <w:rFonts w:ascii="Times New Roman" w:hAnsi="Times New Roman" w:cs="Times New Roman"/>
          <w:sz w:val="24"/>
          <w:szCs w:val="24"/>
          <w:shd w:val="clear" w:color="auto" w:fill="FFFFFF"/>
        </w:rPr>
        <w:t>O</w:t>
      </w:r>
      <w:r w:rsidR="00155527" w:rsidRPr="00F33937">
        <w:rPr>
          <w:rFonts w:ascii="Times New Roman" w:hAnsi="Times New Roman" w:cs="Times New Roman"/>
          <w:sz w:val="24"/>
          <w:szCs w:val="24"/>
          <w:shd w:val="clear" w:color="auto" w:fill="FFFFFF"/>
        </w:rPr>
        <w:t>n the removal of</w:t>
      </w:r>
      <w:r w:rsidR="00B01C83" w:rsidRPr="00F33937">
        <w:rPr>
          <w:rFonts w:ascii="Times New Roman" w:hAnsi="Times New Roman" w:cs="Times New Roman"/>
          <w:sz w:val="24"/>
          <w:szCs w:val="24"/>
          <w:shd w:val="clear" w:color="auto" w:fill="FFFFFF"/>
        </w:rPr>
        <w:t xml:space="preserve"> obstacles to</w:t>
      </w:r>
      <w:r w:rsidR="00557D1C" w:rsidRPr="00F33937">
        <w:rPr>
          <w:rFonts w:ascii="Times New Roman" w:hAnsi="Times New Roman" w:cs="Times New Roman"/>
          <w:sz w:val="24"/>
          <w:szCs w:val="24"/>
          <w:shd w:val="clear" w:color="auto" w:fill="FFFFFF"/>
        </w:rPr>
        <w:t xml:space="preserve"> justice and</w:t>
      </w:r>
      <w:r w:rsidR="00155527" w:rsidRPr="00F33937">
        <w:rPr>
          <w:rFonts w:ascii="Times New Roman" w:hAnsi="Times New Roman" w:cs="Times New Roman"/>
          <w:sz w:val="24"/>
          <w:szCs w:val="24"/>
          <w:shd w:val="clear" w:color="auto" w:fill="FFFFFF"/>
        </w:rPr>
        <w:t xml:space="preserve"> the location of tribunals, the </w:t>
      </w:r>
      <w:r w:rsidR="00B33664" w:rsidRPr="00F33937">
        <w:rPr>
          <w:rFonts w:ascii="Times New Roman" w:hAnsi="Times New Roman" w:cs="Times New Roman"/>
          <w:sz w:val="24"/>
          <w:szCs w:val="24"/>
          <w:shd w:val="clear" w:color="auto" w:fill="FFFFFF"/>
        </w:rPr>
        <w:t>C</w:t>
      </w:r>
      <w:r w:rsidR="00557D1C" w:rsidRPr="00F33937">
        <w:rPr>
          <w:rFonts w:ascii="Times New Roman" w:hAnsi="Times New Roman" w:cs="Times New Roman"/>
          <w:sz w:val="24"/>
          <w:szCs w:val="24"/>
          <w:shd w:val="clear" w:color="auto" w:fill="FFFFFF"/>
        </w:rPr>
        <w:t>ommission</w:t>
      </w:r>
      <w:r w:rsidR="00155527" w:rsidRPr="00F33937">
        <w:rPr>
          <w:rFonts w:ascii="Times New Roman" w:hAnsi="Times New Roman" w:cs="Times New Roman"/>
          <w:sz w:val="24"/>
          <w:szCs w:val="24"/>
          <w:shd w:val="clear" w:color="auto" w:fill="FFFFFF"/>
        </w:rPr>
        <w:t xml:space="preserve"> has summarized</w:t>
      </w:r>
      <w:r w:rsidR="00557D1C" w:rsidRPr="00F33937">
        <w:rPr>
          <w:rFonts w:ascii="Times New Roman" w:hAnsi="Times New Roman" w:cs="Times New Roman"/>
          <w:sz w:val="24"/>
          <w:szCs w:val="24"/>
          <w:shd w:val="clear" w:color="auto" w:fill="FFFFFF"/>
        </w:rPr>
        <w:t xml:space="preserve"> the </w:t>
      </w:r>
      <w:r w:rsidR="00496F08" w:rsidRPr="00F33937">
        <w:rPr>
          <w:rFonts w:ascii="Times New Roman" w:hAnsi="Times New Roman" w:cs="Times New Roman"/>
          <w:sz w:val="24"/>
          <w:szCs w:val="24"/>
          <w:shd w:val="clear" w:color="auto" w:fill="FFFFFF"/>
        </w:rPr>
        <w:t>I</w:t>
      </w:r>
      <w:r w:rsidR="00A51EDB" w:rsidRPr="00F33937">
        <w:rPr>
          <w:rFonts w:ascii="Times New Roman" w:hAnsi="Times New Roman" w:cs="Times New Roman"/>
          <w:sz w:val="24"/>
          <w:szCs w:val="24"/>
          <w:shd w:val="clear" w:color="auto" w:fill="FFFFFF"/>
        </w:rPr>
        <w:t>n</w:t>
      </w:r>
      <w:r w:rsidR="00557D1C" w:rsidRPr="00F33937">
        <w:rPr>
          <w:rFonts w:ascii="Times New Roman" w:hAnsi="Times New Roman" w:cs="Times New Roman"/>
          <w:sz w:val="24"/>
          <w:szCs w:val="24"/>
          <w:shd w:val="clear" w:color="auto" w:fill="FFFFFF"/>
        </w:rPr>
        <w:t>ter-American System’s standards</w:t>
      </w:r>
      <w:r w:rsidR="00A51EDB" w:rsidRPr="00F33937">
        <w:rPr>
          <w:rFonts w:ascii="Times New Roman" w:hAnsi="Times New Roman" w:cs="Times New Roman"/>
          <w:sz w:val="24"/>
          <w:szCs w:val="24"/>
          <w:shd w:val="clear" w:color="auto" w:fill="FFFFFF"/>
        </w:rPr>
        <w:t xml:space="preserve"> </w:t>
      </w:r>
      <w:r w:rsidR="00557D1C" w:rsidRPr="00F33937">
        <w:rPr>
          <w:rFonts w:ascii="Times New Roman" w:hAnsi="Times New Roman" w:cs="Times New Roman"/>
          <w:sz w:val="24"/>
          <w:szCs w:val="24"/>
          <w:shd w:val="clear" w:color="auto" w:fill="FFFFFF"/>
        </w:rPr>
        <w:t>by which Member States must comply.</w:t>
      </w:r>
      <w:r w:rsidR="005833F4" w:rsidRPr="00F33937">
        <w:rPr>
          <w:rStyle w:val="FootnoteReference"/>
          <w:rFonts w:ascii="Times New Roman" w:hAnsi="Times New Roman" w:cs="Times New Roman"/>
          <w:sz w:val="24"/>
          <w:szCs w:val="24"/>
          <w:shd w:val="clear" w:color="auto" w:fill="FFFFFF"/>
        </w:rPr>
        <w:footnoteReference w:id="98"/>
      </w:r>
      <w:r w:rsidR="00557D1C" w:rsidRPr="00F33937">
        <w:rPr>
          <w:rFonts w:ascii="Times New Roman" w:hAnsi="Times New Roman" w:cs="Times New Roman"/>
          <w:sz w:val="24"/>
          <w:szCs w:val="24"/>
          <w:shd w:val="clear" w:color="auto" w:fill="FFFFFF"/>
        </w:rPr>
        <w:t xml:space="preserve">  </w:t>
      </w:r>
      <w:r w:rsidR="00B01C83" w:rsidRPr="00F33937">
        <w:rPr>
          <w:rFonts w:ascii="Times New Roman" w:hAnsi="Times New Roman" w:cs="Times New Roman"/>
          <w:sz w:val="24"/>
          <w:szCs w:val="24"/>
          <w:shd w:val="clear" w:color="auto" w:fill="FFFFFF"/>
        </w:rPr>
        <w:t>Paragraph 1 adjures, “States not only have a negative obligation not to obstruct access to . . . remedies but, in particular, a positive duty to organize their institutional apparatus so that all individuals can access those remedies.”</w:t>
      </w:r>
      <w:r w:rsidR="00B01C83" w:rsidRPr="00F33937">
        <w:rPr>
          <w:rStyle w:val="FootnoteReference"/>
          <w:rFonts w:ascii="Times New Roman" w:hAnsi="Times New Roman" w:cs="Times New Roman"/>
          <w:sz w:val="24"/>
          <w:szCs w:val="24"/>
          <w:shd w:val="clear" w:color="auto" w:fill="FFFFFF"/>
        </w:rPr>
        <w:footnoteReference w:id="99"/>
      </w:r>
      <w:r w:rsidR="00557D1C" w:rsidRPr="00F33937">
        <w:rPr>
          <w:rFonts w:ascii="Times New Roman" w:hAnsi="Times New Roman" w:cs="Times New Roman"/>
          <w:sz w:val="24"/>
          <w:szCs w:val="24"/>
          <w:shd w:val="clear" w:color="auto" w:fill="FFFFFF"/>
        </w:rPr>
        <w:t xml:space="preserve"> </w:t>
      </w:r>
      <w:r w:rsidR="00B01C83" w:rsidRPr="00F33937">
        <w:rPr>
          <w:rFonts w:ascii="Times New Roman" w:hAnsi="Times New Roman" w:cs="Times New Roman"/>
          <w:sz w:val="24"/>
          <w:szCs w:val="24"/>
          <w:shd w:val="clear" w:color="auto" w:fill="FFFFFF"/>
        </w:rPr>
        <w:t xml:space="preserve"> </w:t>
      </w:r>
      <w:r w:rsidR="00011E60" w:rsidRPr="00F33937">
        <w:rPr>
          <w:rFonts w:ascii="Times New Roman" w:hAnsi="Times New Roman" w:cs="Times New Roman"/>
          <w:sz w:val="24"/>
          <w:szCs w:val="24"/>
          <w:shd w:val="clear" w:color="auto" w:fill="FFFFFF"/>
        </w:rPr>
        <w:t>Paragraph</w:t>
      </w:r>
      <w:r w:rsidR="00A7461B" w:rsidRPr="00F33937">
        <w:rPr>
          <w:rFonts w:ascii="Times New Roman" w:hAnsi="Times New Roman" w:cs="Times New Roman"/>
          <w:sz w:val="24"/>
          <w:szCs w:val="24"/>
          <w:shd w:val="clear" w:color="auto" w:fill="FFFFFF"/>
        </w:rPr>
        <w:t>s</w:t>
      </w:r>
      <w:r w:rsidR="00011E60" w:rsidRPr="00F33937">
        <w:rPr>
          <w:rFonts w:ascii="Times New Roman" w:hAnsi="Times New Roman" w:cs="Times New Roman"/>
          <w:sz w:val="24"/>
          <w:szCs w:val="24"/>
          <w:shd w:val="clear" w:color="auto" w:fill="FFFFFF"/>
        </w:rPr>
        <w:t xml:space="preserve"> 66</w:t>
      </w:r>
      <w:r w:rsidR="00FD4848" w:rsidRPr="00F33937">
        <w:rPr>
          <w:rFonts w:ascii="Times New Roman" w:hAnsi="Times New Roman" w:cs="Times New Roman"/>
          <w:sz w:val="24"/>
          <w:szCs w:val="24"/>
          <w:shd w:val="clear" w:color="auto" w:fill="FFFFFF"/>
        </w:rPr>
        <w:t xml:space="preserve"> through 80</w:t>
      </w:r>
      <w:r w:rsidR="00A7461B" w:rsidRPr="00F33937">
        <w:rPr>
          <w:rFonts w:ascii="Times New Roman" w:hAnsi="Times New Roman" w:cs="Times New Roman"/>
          <w:sz w:val="24"/>
          <w:szCs w:val="24"/>
          <w:shd w:val="clear" w:color="auto" w:fill="FFFFFF"/>
        </w:rPr>
        <w:t xml:space="preserve"> of the same document </w:t>
      </w:r>
      <w:r w:rsidR="00A7461B" w:rsidRPr="00F33937">
        <w:rPr>
          <w:rFonts w:ascii="Times New Roman" w:hAnsi="Times New Roman" w:cs="Times New Roman"/>
          <w:sz w:val="24"/>
          <w:szCs w:val="24"/>
          <w:shd w:val="clear" w:color="auto" w:fill="FFFFFF"/>
        </w:rPr>
        <w:lastRenderedPageBreak/>
        <w:t>explain that</w:t>
      </w:r>
      <w:r w:rsidR="00011E60" w:rsidRPr="00F33937">
        <w:rPr>
          <w:rFonts w:ascii="Times New Roman" w:hAnsi="Times New Roman" w:cs="Times New Roman"/>
          <w:sz w:val="24"/>
          <w:szCs w:val="24"/>
          <w:shd w:val="clear" w:color="auto" w:fill="FFFFFF"/>
        </w:rPr>
        <w:t xml:space="preserve"> locatio</w:t>
      </w:r>
      <w:r w:rsidR="00155527" w:rsidRPr="00F33937">
        <w:rPr>
          <w:rFonts w:ascii="Times New Roman" w:hAnsi="Times New Roman" w:cs="Times New Roman"/>
          <w:sz w:val="24"/>
          <w:szCs w:val="24"/>
          <w:shd w:val="clear" w:color="auto" w:fill="FFFFFF"/>
        </w:rPr>
        <w:t xml:space="preserve">n of tribunals </w:t>
      </w:r>
      <w:r w:rsidR="00011E60" w:rsidRPr="00F33937">
        <w:rPr>
          <w:rFonts w:ascii="Times New Roman" w:hAnsi="Times New Roman" w:cs="Times New Roman"/>
          <w:sz w:val="24"/>
          <w:szCs w:val="24"/>
          <w:shd w:val="clear" w:color="auto" w:fill="FFFFFF"/>
        </w:rPr>
        <w:t xml:space="preserve">limit a petitioner’s access </w:t>
      </w:r>
      <w:r w:rsidR="00A51499">
        <w:rPr>
          <w:rFonts w:ascii="Times New Roman" w:hAnsi="Times New Roman" w:cs="Times New Roman"/>
          <w:sz w:val="24"/>
          <w:szCs w:val="24"/>
          <w:shd w:val="clear" w:color="auto" w:fill="FFFFFF"/>
        </w:rPr>
        <w:t>to justice, when</w:t>
      </w:r>
      <w:r w:rsidR="00A7461B" w:rsidRPr="00F33937">
        <w:rPr>
          <w:rFonts w:ascii="Times New Roman" w:hAnsi="Times New Roman" w:cs="Times New Roman"/>
          <w:sz w:val="24"/>
          <w:szCs w:val="24"/>
          <w:shd w:val="clear" w:color="auto" w:fill="FFFFFF"/>
        </w:rPr>
        <w:t xml:space="preserve"> struct</w:t>
      </w:r>
      <w:r w:rsidR="00A51499">
        <w:rPr>
          <w:rFonts w:ascii="Times New Roman" w:hAnsi="Times New Roman" w:cs="Times New Roman"/>
          <w:sz w:val="24"/>
          <w:szCs w:val="24"/>
          <w:shd w:val="clear" w:color="auto" w:fill="FFFFFF"/>
        </w:rPr>
        <w:t>ural issues of a State effect</w:t>
      </w:r>
      <w:r w:rsidR="00FD4848" w:rsidRPr="00F33937">
        <w:rPr>
          <w:rFonts w:ascii="Times New Roman" w:hAnsi="Times New Roman" w:cs="Times New Roman"/>
          <w:sz w:val="24"/>
          <w:szCs w:val="24"/>
          <w:shd w:val="clear" w:color="auto" w:fill="FFFFFF"/>
        </w:rPr>
        <w:t xml:space="preserve"> “the absence of institutions necessary for the administration of justice in rural, poor and marginalized areas.”</w:t>
      </w:r>
      <w:r w:rsidR="00FD4848" w:rsidRPr="00F33937">
        <w:rPr>
          <w:rStyle w:val="FootnoteReference"/>
          <w:rFonts w:ascii="Times New Roman" w:hAnsi="Times New Roman" w:cs="Times New Roman"/>
          <w:sz w:val="24"/>
          <w:szCs w:val="24"/>
          <w:shd w:val="clear" w:color="auto" w:fill="FFFFFF"/>
        </w:rPr>
        <w:footnoteReference w:id="100"/>
      </w:r>
      <w:r w:rsidR="00011E60" w:rsidRPr="00F33937">
        <w:rPr>
          <w:rFonts w:ascii="Times New Roman" w:hAnsi="Times New Roman" w:cs="Times New Roman"/>
          <w:sz w:val="24"/>
          <w:szCs w:val="24"/>
          <w:shd w:val="clear" w:color="auto" w:fill="FFFFFF"/>
        </w:rPr>
        <w:t xml:space="preserve">  </w:t>
      </w:r>
      <w:r w:rsidR="00CB31CF" w:rsidRPr="00F33937">
        <w:rPr>
          <w:rFonts w:ascii="Times New Roman" w:hAnsi="Times New Roman" w:cs="Times New Roman"/>
          <w:sz w:val="24"/>
          <w:szCs w:val="24"/>
          <w:shd w:val="clear" w:color="auto" w:fill="FFFFFF"/>
        </w:rPr>
        <w:t>Of the three internal states of the Republic of Charechia, the petitioning families</w:t>
      </w:r>
      <w:r w:rsidR="001D31ED" w:rsidRPr="00F33937">
        <w:rPr>
          <w:rFonts w:ascii="Times New Roman" w:hAnsi="Times New Roman" w:cs="Times New Roman"/>
          <w:sz w:val="24"/>
          <w:szCs w:val="24"/>
          <w:shd w:val="clear" w:color="auto" w:fill="FFFFFF"/>
        </w:rPr>
        <w:t>’</w:t>
      </w:r>
      <w:r w:rsidR="00CB31CF" w:rsidRPr="00F33937">
        <w:rPr>
          <w:rFonts w:ascii="Times New Roman" w:hAnsi="Times New Roman" w:cs="Times New Roman"/>
          <w:sz w:val="24"/>
          <w:szCs w:val="24"/>
          <w:shd w:val="clear" w:color="auto" w:fill="FFFFFF"/>
        </w:rPr>
        <w:t xml:space="preserve"> home state is the poorest, with average monthly income less than $500.</w:t>
      </w:r>
      <w:r w:rsidR="00CB31CF" w:rsidRPr="00F33937">
        <w:rPr>
          <w:rStyle w:val="FootnoteReference"/>
          <w:rFonts w:ascii="Times New Roman" w:hAnsi="Times New Roman" w:cs="Times New Roman"/>
          <w:sz w:val="24"/>
          <w:szCs w:val="24"/>
          <w:shd w:val="clear" w:color="auto" w:fill="FFFFFF"/>
        </w:rPr>
        <w:footnoteReference w:id="101"/>
      </w:r>
      <w:r w:rsidR="0085312A" w:rsidRPr="00F33937">
        <w:rPr>
          <w:rFonts w:ascii="Times New Roman" w:hAnsi="Times New Roman" w:cs="Times New Roman"/>
          <w:sz w:val="24"/>
          <w:szCs w:val="24"/>
          <w:shd w:val="clear" w:color="auto" w:fill="FFFFFF"/>
        </w:rPr>
        <w:t xml:space="preserve"> </w:t>
      </w:r>
      <w:r w:rsidR="00155527" w:rsidRPr="00F33937">
        <w:rPr>
          <w:rFonts w:ascii="Times New Roman" w:hAnsi="Times New Roman" w:cs="Times New Roman"/>
          <w:sz w:val="24"/>
          <w:szCs w:val="24"/>
          <w:shd w:val="clear" w:color="auto" w:fill="FFFFFF"/>
        </w:rPr>
        <w:t xml:space="preserve"> </w:t>
      </w:r>
      <w:r w:rsidR="00D64C1E" w:rsidRPr="00F33937">
        <w:rPr>
          <w:rFonts w:ascii="Times New Roman" w:hAnsi="Times New Roman" w:cs="Times New Roman"/>
          <w:sz w:val="24"/>
          <w:szCs w:val="24"/>
          <w:shd w:val="clear" w:color="auto" w:fill="FFFFFF"/>
        </w:rPr>
        <w:t>Western Char</w:t>
      </w:r>
      <w:r w:rsidR="00547740" w:rsidRPr="00F33937">
        <w:rPr>
          <w:rFonts w:ascii="Times New Roman" w:hAnsi="Times New Roman" w:cs="Times New Roman"/>
          <w:sz w:val="24"/>
          <w:szCs w:val="24"/>
          <w:shd w:val="clear" w:color="auto" w:fill="FFFFFF"/>
        </w:rPr>
        <w:t xml:space="preserve">echia is </w:t>
      </w:r>
      <w:r w:rsidR="00D64C1E" w:rsidRPr="00F33937">
        <w:rPr>
          <w:rFonts w:ascii="Times New Roman" w:hAnsi="Times New Roman" w:cs="Times New Roman"/>
          <w:sz w:val="24"/>
          <w:szCs w:val="24"/>
          <w:shd w:val="clear" w:color="auto" w:fill="FFFFFF"/>
        </w:rPr>
        <w:t>home to indigenous persons wh</w:t>
      </w:r>
      <w:r w:rsidR="00A51499">
        <w:rPr>
          <w:rFonts w:ascii="Times New Roman" w:hAnsi="Times New Roman" w:cs="Times New Roman"/>
          <w:sz w:val="24"/>
          <w:szCs w:val="24"/>
          <w:shd w:val="clear" w:color="auto" w:fill="FFFFFF"/>
        </w:rPr>
        <w:t>o live simply and upon the land,</w:t>
      </w:r>
      <w:r w:rsidR="00D64C1E" w:rsidRPr="00F33937">
        <w:rPr>
          <w:rStyle w:val="FootnoteReference"/>
          <w:rFonts w:ascii="Times New Roman" w:hAnsi="Times New Roman" w:cs="Times New Roman"/>
          <w:sz w:val="24"/>
          <w:szCs w:val="24"/>
          <w:shd w:val="clear" w:color="auto" w:fill="FFFFFF"/>
        </w:rPr>
        <w:footnoteReference w:id="102"/>
      </w:r>
      <w:r w:rsidR="0085312A" w:rsidRPr="00F33937">
        <w:rPr>
          <w:rFonts w:ascii="Times New Roman" w:hAnsi="Times New Roman" w:cs="Times New Roman"/>
          <w:sz w:val="24"/>
          <w:szCs w:val="24"/>
          <w:shd w:val="clear" w:color="auto" w:fill="FFFFFF"/>
        </w:rPr>
        <w:t xml:space="preserve"> </w:t>
      </w:r>
      <w:r w:rsidR="00A51499">
        <w:rPr>
          <w:rFonts w:ascii="Times New Roman" w:hAnsi="Times New Roman" w:cs="Times New Roman"/>
          <w:sz w:val="24"/>
          <w:szCs w:val="24"/>
          <w:shd w:val="clear" w:color="auto" w:fill="FFFFFF"/>
        </w:rPr>
        <w:t>yet t</w:t>
      </w:r>
      <w:r w:rsidR="008D54FC" w:rsidRPr="00F33937">
        <w:rPr>
          <w:rFonts w:ascii="Times New Roman" w:hAnsi="Times New Roman" w:cs="Times New Roman"/>
          <w:sz w:val="24"/>
          <w:szCs w:val="24"/>
          <w:shd w:val="clear" w:color="auto" w:fill="FFFFFF"/>
        </w:rPr>
        <w:t>h</w:t>
      </w:r>
      <w:r w:rsidR="00904DD7" w:rsidRPr="00F33937">
        <w:rPr>
          <w:rFonts w:ascii="Times New Roman" w:hAnsi="Times New Roman" w:cs="Times New Roman"/>
          <w:sz w:val="24"/>
          <w:szCs w:val="24"/>
          <w:shd w:val="clear" w:color="auto" w:fill="FFFFFF"/>
        </w:rPr>
        <w:t>is</w:t>
      </w:r>
      <w:r w:rsidR="00A51499">
        <w:rPr>
          <w:rFonts w:ascii="Times New Roman" w:hAnsi="Times New Roman" w:cs="Times New Roman"/>
          <w:sz w:val="24"/>
          <w:szCs w:val="24"/>
          <w:shd w:val="clear" w:color="auto" w:fill="FFFFFF"/>
        </w:rPr>
        <w:t xml:space="preserve"> </w:t>
      </w:r>
      <w:r w:rsidR="008D54FC" w:rsidRPr="00F33937">
        <w:rPr>
          <w:rFonts w:ascii="Times New Roman" w:hAnsi="Times New Roman" w:cs="Times New Roman"/>
          <w:sz w:val="24"/>
          <w:szCs w:val="24"/>
          <w:shd w:val="clear" w:color="auto" w:fill="FFFFFF"/>
        </w:rPr>
        <w:t>state’s 3,000,000 residents are without a single court of appeal.</w:t>
      </w:r>
      <w:r w:rsidR="008D54FC" w:rsidRPr="00F33937">
        <w:rPr>
          <w:rStyle w:val="FootnoteReference"/>
          <w:rFonts w:ascii="Times New Roman" w:hAnsi="Times New Roman" w:cs="Times New Roman"/>
          <w:sz w:val="24"/>
          <w:szCs w:val="24"/>
          <w:shd w:val="clear" w:color="auto" w:fill="FFFFFF"/>
        </w:rPr>
        <w:footnoteReference w:id="103"/>
      </w:r>
    </w:p>
    <w:p w14:paraId="2F123CB9" w14:textId="70750606" w:rsidR="00203E55" w:rsidRPr="00F33937" w:rsidRDefault="00F476F5" w:rsidP="003B62D2">
      <w:pPr>
        <w:spacing w:after="0" w:line="480" w:lineRule="auto"/>
        <w:contextualSpacing/>
        <w:rPr>
          <w:rFonts w:ascii="Times New Roman" w:hAnsi="Times New Roman" w:cs="Times New Roman"/>
          <w:sz w:val="24"/>
          <w:szCs w:val="24"/>
          <w:shd w:val="clear" w:color="auto" w:fill="FFFFFF"/>
        </w:rPr>
      </w:pPr>
      <w:r w:rsidRPr="00F33937">
        <w:rPr>
          <w:rFonts w:ascii="Times New Roman" w:hAnsi="Times New Roman" w:cs="Times New Roman"/>
          <w:sz w:val="24"/>
          <w:szCs w:val="24"/>
          <w:shd w:val="clear" w:color="auto" w:fill="FFFFFF"/>
        </w:rPr>
        <w:tab/>
        <w:t>By s</w:t>
      </w:r>
      <w:r w:rsidR="0085312A" w:rsidRPr="00F33937">
        <w:rPr>
          <w:rFonts w:ascii="Times New Roman" w:hAnsi="Times New Roman" w:cs="Times New Roman"/>
          <w:sz w:val="24"/>
          <w:szCs w:val="24"/>
          <w:shd w:val="clear" w:color="auto" w:fill="FFFFFF"/>
        </w:rPr>
        <w:t>electively locating</w:t>
      </w:r>
      <w:r w:rsidR="005D1CCE" w:rsidRPr="00F33937">
        <w:rPr>
          <w:rFonts w:ascii="Times New Roman" w:hAnsi="Times New Roman" w:cs="Times New Roman"/>
          <w:sz w:val="24"/>
          <w:szCs w:val="24"/>
          <w:shd w:val="clear" w:color="auto" w:fill="FFFFFF"/>
        </w:rPr>
        <w:t xml:space="preserve"> </w:t>
      </w:r>
      <w:r w:rsidR="00A51EDB" w:rsidRPr="00F33937">
        <w:rPr>
          <w:rFonts w:ascii="Times New Roman" w:hAnsi="Times New Roman" w:cs="Times New Roman"/>
          <w:sz w:val="24"/>
          <w:szCs w:val="24"/>
          <w:shd w:val="clear" w:color="auto" w:fill="FFFFFF"/>
        </w:rPr>
        <w:t xml:space="preserve">its </w:t>
      </w:r>
      <w:r w:rsidR="005D1CCE" w:rsidRPr="00F33937">
        <w:rPr>
          <w:rFonts w:ascii="Times New Roman" w:hAnsi="Times New Roman" w:cs="Times New Roman"/>
          <w:sz w:val="24"/>
          <w:szCs w:val="24"/>
          <w:shd w:val="clear" w:color="auto" w:fill="FFFFFF"/>
        </w:rPr>
        <w:t>courts of appeal</w:t>
      </w:r>
      <w:r w:rsidR="0085312A" w:rsidRPr="00F33937">
        <w:rPr>
          <w:rFonts w:ascii="Times New Roman" w:hAnsi="Times New Roman" w:cs="Times New Roman"/>
          <w:sz w:val="24"/>
          <w:szCs w:val="24"/>
          <w:shd w:val="clear" w:color="auto" w:fill="FFFFFF"/>
        </w:rPr>
        <w:t xml:space="preserve"> in relatively affluent states</w:t>
      </w:r>
      <w:r w:rsidR="00873460" w:rsidRPr="00F33937">
        <w:rPr>
          <w:rFonts w:ascii="Times New Roman" w:hAnsi="Times New Roman" w:cs="Times New Roman"/>
          <w:sz w:val="24"/>
          <w:szCs w:val="24"/>
          <w:shd w:val="clear" w:color="auto" w:fill="FFFFFF"/>
        </w:rPr>
        <w:t>, the Republic failed in its “positive duty to organize their institutional apparatus”</w:t>
      </w:r>
      <w:r w:rsidR="00C214CF" w:rsidRPr="00F33937">
        <w:rPr>
          <w:rFonts w:ascii="Times New Roman" w:hAnsi="Times New Roman" w:cs="Times New Roman"/>
          <w:sz w:val="24"/>
          <w:szCs w:val="24"/>
          <w:shd w:val="clear" w:color="auto" w:fill="FFFFFF"/>
        </w:rPr>
        <w:t xml:space="preserve"> to guarantee justice for Western Charechians</w:t>
      </w:r>
      <w:r w:rsidR="00873460" w:rsidRPr="00F33937">
        <w:rPr>
          <w:rFonts w:ascii="Times New Roman" w:hAnsi="Times New Roman" w:cs="Times New Roman"/>
          <w:sz w:val="24"/>
          <w:szCs w:val="24"/>
          <w:shd w:val="clear" w:color="auto" w:fill="FFFFFF"/>
        </w:rPr>
        <w:t>.</w:t>
      </w:r>
      <w:r w:rsidR="00873460" w:rsidRPr="00F33937">
        <w:rPr>
          <w:rStyle w:val="FootnoteReference"/>
          <w:rFonts w:ascii="Times New Roman" w:hAnsi="Times New Roman" w:cs="Times New Roman"/>
          <w:sz w:val="24"/>
          <w:szCs w:val="24"/>
          <w:shd w:val="clear" w:color="auto" w:fill="FFFFFF"/>
        </w:rPr>
        <w:footnoteReference w:id="104"/>
      </w:r>
      <w:r w:rsidR="00371C30" w:rsidRPr="00F33937">
        <w:rPr>
          <w:rFonts w:ascii="Times New Roman" w:hAnsi="Times New Roman" w:cs="Times New Roman"/>
          <w:sz w:val="24"/>
          <w:szCs w:val="24"/>
          <w:shd w:val="clear" w:color="auto" w:fill="FFFFFF"/>
        </w:rPr>
        <w:t xml:space="preserve"> </w:t>
      </w:r>
      <w:r w:rsidR="00C214CF" w:rsidRPr="00F33937">
        <w:rPr>
          <w:rFonts w:ascii="Times New Roman" w:hAnsi="Times New Roman" w:cs="Times New Roman"/>
          <w:sz w:val="24"/>
          <w:szCs w:val="24"/>
          <w:shd w:val="clear" w:color="auto" w:fill="FFFFFF"/>
        </w:rPr>
        <w:t xml:space="preserve"> </w:t>
      </w:r>
      <w:r w:rsidR="00650A76" w:rsidRPr="00F33937">
        <w:rPr>
          <w:rFonts w:ascii="Times New Roman" w:hAnsi="Times New Roman" w:cs="Times New Roman"/>
          <w:sz w:val="24"/>
          <w:szCs w:val="24"/>
          <w:shd w:val="clear" w:color="auto" w:fill="FFFFFF"/>
        </w:rPr>
        <w:t>This absence of provincial tribunal shows the Families’ access to</w:t>
      </w:r>
      <w:r w:rsidR="00371C30" w:rsidRPr="00F33937">
        <w:rPr>
          <w:rFonts w:ascii="Times New Roman" w:hAnsi="Times New Roman" w:cs="Times New Roman"/>
          <w:sz w:val="24"/>
          <w:szCs w:val="24"/>
          <w:shd w:val="clear" w:color="auto" w:fill="FFFFFF"/>
        </w:rPr>
        <w:t xml:space="preserve"> justice</w:t>
      </w:r>
      <w:r w:rsidR="00596966" w:rsidRPr="00F33937">
        <w:rPr>
          <w:rFonts w:ascii="Times New Roman" w:hAnsi="Times New Roman" w:cs="Times New Roman"/>
          <w:sz w:val="24"/>
          <w:szCs w:val="24"/>
          <w:shd w:val="clear" w:color="auto" w:fill="FFFFFF"/>
        </w:rPr>
        <w:t xml:space="preserve"> inequitable</w:t>
      </w:r>
      <w:r w:rsidR="00B94F9A" w:rsidRPr="00F33937">
        <w:rPr>
          <w:rFonts w:ascii="Times New Roman" w:hAnsi="Times New Roman" w:cs="Times New Roman"/>
          <w:sz w:val="24"/>
          <w:szCs w:val="24"/>
          <w:shd w:val="clear" w:color="auto" w:fill="FFFFFF"/>
        </w:rPr>
        <w:t>.</w:t>
      </w:r>
      <w:r w:rsidR="00496F08" w:rsidRPr="00F33937">
        <w:rPr>
          <w:rStyle w:val="FootnoteReference"/>
          <w:rFonts w:ascii="Times New Roman" w:hAnsi="Times New Roman" w:cs="Times New Roman"/>
          <w:sz w:val="24"/>
          <w:szCs w:val="24"/>
          <w:shd w:val="clear" w:color="auto" w:fill="FFFFFF"/>
        </w:rPr>
        <w:footnoteReference w:id="105"/>
      </w:r>
      <w:r w:rsidR="00B94F9A" w:rsidRPr="00F33937">
        <w:rPr>
          <w:rFonts w:ascii="Times New Roman" w:hAnsi="Times New Roman" w:cs="Times New Roman"/>
          <w:sz w:val="24"/>
          <w:szCs w:val="24"/>
          <w:shd w:val="clear" w:color="auto" w:fill="FFFFFF"/>
        </w:rPr>
        <w:t xml:space="preserve"> </w:t>
      </w:r>
      <w:r w:rsidR="00C214CF" w:rsidRPr="00F33937">
        <w:rPr>
          <w:rFonts w:ascii="Times New Roman" w:hAnsi="Times New Roman" w:cs="Times New Roman"/>
          <w:sz w:val="24"/>
          <w:szCs w:val="24"/>
          <w:shd w:val="clear" w:color="auto" w:fill="FFFFFF"/>
        </w:rPr>
        <w:t xml:space="preserve"> W</w:t>
      </w:r>
      <w:r w:rsidR="00B94F9A" w:rsidRPr="00F33937">
        <w:rPr>
          <w:rFonts w:ascii="Times New Roman" w:hAnsi="Times New Roman" w:cs="Times New Roman"/>
          <w:sz w:val="24"/>
          <w:szCs w:val="24"/>
          <w:shd w:val="clear" w:color="auto" w:fill="FFFFFF"/>
        </w:rPr>
        <w:t>hen appealing the January 2018</w:t>
      </w:r>
      <w:r w:rsidR="00B94F9A" w:rsidRPr="00F33937">
        <w:rPr>
          <w:rStyle w:val="FootnoteReference"/>
          <w:rFonts w:ascii="Times New Roman" w:hAnsi="Times New Roman" w:cs="Times New Roman"/>
          <w:sz w:val="24"/>
          <w:szCs w:val="24"/>
          <w:shd w:val="clear" w:color="auto" w:fill="FFFFFF"/>
        </w:rPr>
        <w:footnoteReference w:id="106"/>
      </w:r>
      <w:r w:rsidR="00B94F9A" w:rsidRPr="00F33937">
        <w:rPr>
          <w:rFonts w:ascii="Times New Roman" w:hAnsi="Times New Roman" w:cs="Times New Roman"/>
          <w:sz w:val="24"/>
          <w:szCs w:val="24"/>
          <w:shd w:val="clear" w:color="auto" w:fill="FFFFFF"/>
        </w:rPr>
        <w:t xml:space="preserve"> and March 2019</w:t>
      </w:r>
      <w:r w:rsidR="00B94F9A" w:rsidRPr="00F33937">
        <w:rPr>
          <w:rStyle w:val="FootnoteReference"/>
          <w:rFonts w:ascii="Times New Roman" w:hAnsi="Times New Roman" w:cs="Times New Roman"/>
          <w:sz w:val="24"/>
          <w:szCs w:val="24"/>
          <w:shd w:val="clear" w:color="auto" w:fill="FFFFFF"/>
        </w:rPr>
        <w:footnoteReference w:id="107"/>
      </w:r>
      <w:r w:rsidR="00B94F9A" w:rsidRPr="00F33937">
        <w:rPr>
          <w:rFonts w:ascii="Times New Roman" w:hAnsi="Times New Roman" w:cs="Times New Roman"/>
          <w:sz w:val="24"/>
          <w:szCs w:val="24"/>
          <w:shd w:val="clear" w:color="auto" w:fill="FFFFFF"/>
        </w:rPr>
        <w:t xml:space="preserve"> </w:t>
      </w:r>
      <w:r w:rsidR="00347494" w:rsidRPr="00F33937">
        <w:rPr>
          <w:rFonts w:ascii="Times New Roman" w:hAnsi="Times New Roman" w:cs="Times New Roman"/>
          <w:sz w:val="24"/>
          <w:szCs w:val="24"/>
          <w:shd w:val="clear" w:color="auto" w:fill="FFFFFF"/>
        </w:rPr>
        <w:t>municipal court</w:t>
      </w:r>
      <w:r w:rsidR="00B94F9A" w:rsidRPr="00F33937">
        <w:rPr>
          <w:rFonts w:ascii="Times New Roman" w:hAnsi="Times New Roman" w:cs="Times New Roman"/>
          <w:sz w:val="24"/>
          <w:szCs w:val="24"/>
          <w:shd w:val="clear" w:color="auto" w:fill="FFFFFF"/>
        </w:rPr>
        <w:t xml:space="preserve">s’ </w:t>
      </w:r>
      <w:r w:rsidRPr="00F33937">
        <w:rPr>
          <w:rFonts w:ascii="Times New Roman" w:hAnsi="Times New Roman" w:cs="Times New Roman"/>
          <w:sz w:val="24"/>
          <w:szCs w:val="24"/>
          <w:shd w:val="clear" w:color="auto" w:fill="FFFFFF"/>
        </w:rPr>
        <w:t xml:space="preserve">respective </w:t>
      </w:r>
      <w:r w:rsidR="00B94F9A" w:rsidRPr="00F33937">
        <w:rPr>
          <w:rFonts w:ascii="Times New Roman" w:hAnsi="Times New Roman" w:cs="Times New Roman"/>
          <w:sz w:val="24"/>
          <w:szCs w:val="24"/>
          <w:shd w:val="clear" w:color="auto" w:fill="FFFFFF"/>
        </w:rPr>
        <w:t>decisions</w:t>
      </w:r>
      <w:r w:rsidR="00547740" w:rsidRPr="00F33937">
        <w:rPr>
          <w:rStyle w:val="FootnoteReference"/>
          <w:rFonts w:ascii="Times New Roman" w:hAnsi="Times New Roman" w:cs="Times New Roman"/>
          <w:sz w:val="24"/>
          <w:szCs w:val="24"/>
          <w:shd w:val="clear" w:color="auto" w:fill="FFFFFF"/>
        </w:rPr>
        <w:footnoteReference w:id="108"/>
      </w:r>
      <w:r w:rsidR="00347494" w:rsidRPr="00F33937">
        <w:rPr>
          <w:rFonts w:ascii="Times New Roman" w:hAnsi="Times New Roman" w:cs="Times New Roman"/>
          <w:sz w:val="24"/>
          <w:szCs w:val="24"/>
          <w:shd w:val="clear" w:color="auto" w:fill="FFFFFF"/>
        </w:rPr>
        <w:t xml:space="preserve"> </w:t>
      </w:r>
      <w:r w:rsidR="00C214CF" w:rsidRPr="00F33937">
        <w:rPr>
          <w:rFonts w:ascii="Times New Roman" w:hAnsi="Times New Roman" w:cs="Times New Roman"/>
          <w:sz w:val="24"/>
          <w:szCs w:val="24"/>
          <w:shd w:val="clear" w:color="auto" w:fill="FFFFFF"/>
        </w:rPr>
        <w:t xml:space="preserve">the victims of the Paraio massacre </w:t>
      </w:r>
      <w:r w:rsidR="00A71016" w:rsidRPr="00F33937">
        <w:rPr>
          <w:rFonts w:ascii="Times New Roman" w:hAnsi="Times New Roman" w:cs="Times New Roman"/>
          <w:sz w:val="24"/>
          <w:szCs w:val="24"/>
          <w:shd w:val="clear" w:color="auto" w:fill="FFFFFF"/>
        </w:rPr>
        <w:t>were</w:t>
      </w:r>
      <w:r w:rsidR="00B94F9A" w:rsidRPr="00F33937">
        <w:rPr>
          <w:rFonts w:ascii="Times New Roman" w:hAnsi="Times New Roman" w:cs="Times New Roman"/>
          <w:sz w:val="24"/>
          <w:szCs w:val="24"/>
          <w:shd w:val="clear" w:color="auto" w:fill="FFFFFF"/>
        </w:rPr>
        <w:t>,</w:t>
      </w:r>
      <w:r w:rsidR="00C21808" w:rsidRPr="00F33937">
        <w:rPr>
          <w:rFonts w:ascii="Times New Roman" w:hAnsi="Times New Roman" w:cs="Times New Roman"/>
          <w:sz w:val="24"/>
          <w:szCs w:val="24"/>
          <w:shd w:val="clear" w:color="auto" w:fill="FFFFFF"/>
        </w:rPr>
        <w:t xml:space="preserve"> under international law,</w:t>
      </w:r>
      <w:r w:rsidR="00A71016" w:rsidRPr="00F33937">
        <w:rPr>
          <w:rFonts w:ascii="Times New Roman" w:hAnsi="Times New Roman" w:cs="Times New Roman"/>
          <w:sz w:val="24"/>
          <w:szCs w:val="24"/>
          <w:shd w:val="clear" w:color="auto" w:fill="FFFFFF"/>
        </w:rPr>
        <w:t xml:space="preserve"> denied equal access to justice</w:t>
      </w:r>
      <w:r w:rsidR="001C4FB8" w:rsidRPr="00F33937">
        <w:rPr>
          <w:rFonts w:ascii="Times New Roman" w:hAnsi="Times New Roman" w:cs="Times New Roman"/>
          <w:sz w:val="24"/>
          <w:szCs w:val="24"/>
          <w:shd w:val="clear" w:color="auto" w:fill="FFFFFF"/>
        </w:rPr>
        <w:t xml:space="preserve">, because </w:t>
      </w:r>
      <w:r w:rsidR="00706152" w:rsidRPr="00F33937">
        <w:rPr>
          <w:rFonts w:ascii="Times New Roman" w:hAnsi="Times New Roman" w:cs="Times New Roman"/>
          <w:sz w:val="24"/>
          <w:szCs w:val="24"/>
          <w:shd w:val="clear" w:color="auto" w:fill="FFFFFF"/>
        </w:rPr>
        <w:t xml:space="preserve">the location of </w:t>
      </w:r>
      <w:r w:rsidR="00C214CF" w:rsidRPr="00F33937">
        <w:rPr>
          <w:rFonts w:ascii="Times New Roman" w:hAnsi="Times New Roman" w:cs="Times New Roman"/>
          <w:sz w:val="24"/>
          <w:szCs w:val="24"/>
          <w:shd w:val="clear" w:color="auto" w:fill="FFFFFF"/>
        </w:rPr>
        <w:t xml:space="preserve">the </w:t>
      </w:r>
      <w:r w:rsidR="00706152" w:rsidRPr="00F33937">
        <w:rPr>
          <w:rFonts w:ascii="Times New Roman" w:hAnsi="Times New Roman" w:cs="Times New Roman"/>
          <w:sz w:val="24"/>
          <w:szCs w:val="24"/>
          <w:shd w:val="clear" w:color="auto" w:fill="FFFFFF"/>
        </w:rPr>
        <w:t xml:space="preserve">tribunals was an obstacle to </w:t>
      </w:r>
      <w:r w:rsidR="00371C30" w:rsidRPr="00F33937">
        <w:rPr>
          <w:rFonts w:ascii="Times New Roman" w:hAnsi="Times New Roman" w:cs="Times New Roman"/>
          <w:sz w:val="24"/>
          <w:szCs w:val="24"/>
          <w:shd w:val="clear" w:color="auto" w:fill="FFFFFF"/>
        </w:rPr>
        <w:t xml:space="preserve">that </w:t>
      </w:r>
      <w:r w:rsidR="00706152" w:rsidRPr="00F33937">
        <w:rPr>
          <w:rFonts w:ascii="Times New Roman" w:hAnsi="Times New Roman" w:cs="Times New Roman"/>
          <w:sz w:val="24"/>
          <w:szCs w:val="24"/>
          <w:shd w:val="clear" w:color="auto" w:fill="FFFFFF"/>
        </w:rPr>
        <w:t>justice.</w:t>
      </w:r>
      <w:r w:rsidR="00706152" w:rsidRPr="00F33937">
        <w:rPr>
          <w:rStyle w:val="FootnoteReference"/>
          <w:rFonts w:ascii="Times New Roman" w:hAnsi="Times New Roman" w:cs="Times New Roman"/>
          <w:sz w:val="24"/>
          <w:szCs w:val="24"/>
          <w:shd w:val="clear" w:color="auto" w:fill="FFFFFF"/>
        </w:rPr>
        <w:footnoteReference w:id="109"/>
      </w:r>
      <w:r w:rsidR="00371C30" w:rsidRPr="00F33937">
        <w:rPr>
          <w:rFonts w:ascii="Times New Roman" w:hAnsi="Times New Roman" w:cs="Times New Roman"/>
          <w:sz w:val="24"/>
          <w:szCs w:val="24"/>
          <w:shd w:val="clear" w:color="auto" w:fill="FFFFFF"/>
        </w:rPr>
        <w:t xml:space="preserve">  Therefore, i</w:t>
      </w:r>
      <w:r w:rsidR="00E368AC" w:rsidRPr="00F33937">
        <w:rPr>
          <w:rFonts w:ascii="Times New Roman" w:hAnsi="Times New Roman" w:cs="Times New Roman"/>
          <w:sz w:val="24"/>
          <w:szCs w:val="24"/>
          <w:shd w:val="clear" w:color="auto" w:fill="FFFFFF"/>
        </w:rPr>
        <w:t>n conjunction with Articles 1.1, 24, and 25</w:t>
      </w:r>
      <w:r w:rsidR="00540B41" w:rsidRPr="00F33937">
        <w:rPr>
          <w:rFonts w:ascii="Times New Roman" w:hAnsi="Times New Roman" w:cs="Times New Roman"/>
          <w:sz w:val="24"/>
          <w:szCs w:val="24"/>
          <w:shd w:val="clear" w:color="auto" w:fill="FFFFFF"/>
        </w:rPr>
        <w:t xml:space="preserve"> of the American Convention on Human Rights</w:t>
      </w:r>
      <w:r w:rsidR="00E368AC" w:rsidRPr="00F33937">
        <w:rPr>
          <w:rFonts w:ascii="Times New Roman" w:hAnsi="Times New Roman" w:cs="Times New Roman"/>
          <w:sz w:val="24"/>
          <w:szCs w:val="24"/>
          <w:shd w:val="clear" w:color="auto" w:fill="FFFFFF"/>
        </w:rPr>
        <w:t>, the S</w:t>
      </w:r>
      <w:r w:rsidR="00697FA5" w:rsidRPr="00F33937">
        <w:rPr>
          <w:rFonts w:ascii="Times New Roman" w:hAnsi="Times New Roman" w:cs="Times New Roman"/>
          <w:sz w:val="24"/>
          <w:szCs w:val="24"/>
          <w:shd w:val="clear" w:color="auto" w:fill="FFFFFF"/>
        </w:rPr>
        <w:t>tate</w:t>
      </w:r>
      <w:r w:rsidR="00A51EDB" w:rsidRPr="00F33937">
        <w:rPr>
          <w:rFonts w:ascii="Times New Roman" w:hAnsi="Times New Roman" w:cs="Times New Roman"/>
          <w:sz w:val="24"/>
          <w:szCs w:val="24"/>
          <w:shd w:val="clear" w:color="auto" w:fill="FFFFFF"/>
        </w:rPr>
        <w:t xml:space="preserve"> </w:t>
      </w:r>
      <w:r w:rsidR="00E368AC" w:rsidRPr="00F33937">
        <w:rPr>
          <w:rFonts w:ascii="Times New Roman" w:hAnsi="Times New Roman" w:cs="Times New Roman"/>
          <w:sz w:val="24"/>
          <w:szCs w:val="24"/>
          <w:shd w:val="clear" w:color="auto" w:fill="FFFFFF"/>
        </w:rPr>
        <w:t xml:space="preserve">violated </w:t>
      </w:r>
      <w:r w:rsidR="001D31ED" w:rsidRPr="00F33937">
        <w:rPr>
          <w:rFonts w:ascii="Times New Roman" w:hAnsi="Times New Roman" w:cs="Times New Roman"/>
          <w:sz w:val="24"/>
          <w:szCs w:val="24"/>
          <w:shd w:val="clear" w:color="auto" w:fill="FFFFFF"/>
        </w:rPr>
        <w:t>the Families</w:t>
      </w:r>
      <w:r w:rsidR="00E368AC" w:rsidRPr="00F33937">
        <w:rPr>
          <w:rFonts w:ascii="Times New Roman" w:hAnsi="Times New Roman" w:cs="Times New Roman"/>
          <w:sz w:val="24"/>
          <w:szCs w:val="24"/>
          <w:shd w:val="clear" w:color="auto" w:fill="FFFFFF"/>
        </w:rPr>
        <w:t>’ right to a fair trial.</w:t>
      </w:r>
      <w:r w:rsidR="00013F9C" w:rsidRPr="00F33937">
        <w:rPr>
          <w:rFonts w:ascii="Times New Roman" w:hAnsi="Times New Roman" w:cs="Times New Roman"/>
          <w:sz w:val="24"/>
          <w:szCs w:val="24"/>
          <w:shd w:val="clear" w:color="auto" w:fill="FFFFFF"/>
        </w:rPr>
        <w:t xml:space="preserve"> </w:t>
      </w:r>
    </w:p>
    <w:p w14:paraId="105A269B" w14:textId="77777777" w:rsidR="003338E7" w:rsidRDefault="003338E7" w:rsidP="003338E7">
      <w:pPr>
        <w:rPr>
          <w:rFonts w:ascii="Times New Roman" w:hAnsi="Times New Roman" w:cs="Times New Roman"/>
          <w:b/>
          <w:i/>
          <w:sz w:val="24"/>
          <w:szCs w:val="24"/>
        </w:rPr>
      </w:pPr>
    </w:p>
    <w:p w14:paraId="68CD262C" w14:textId="77777777" w:rsidR="00A51499" w:rsidRPr="00F33937" w:rsidRDefault="00A51499" w:rsidP="003338E7">
      <w:pPr>
        <w:rPr>
          <w:rFonts w:ascii="Times New Roman" w:hAnsi="Times New Roman" w:cs="Times New Roman"/>
          <w:b/>
          <w:i/>
          <w:sz w:val="24"/>
          <w:szCs w:val="24"/>
        </w:rPr>
      </w:pPr>
    </w:p>
    <w:p w14:paraId="5260D656" w14:textId="06DABB90" w:rsidR="000065AD" w:rsidRPr="00F33937" w:rsidRDefault="00AF6C89" w:rsidP="003338E7">
      <w:pPr>
        <w:rPr>
          <w:rFonts w:ascii="Times New Roman" w:hAnsi="Times New Roman" w:cs="Times New Roman"/>
          <w:b/>
          <w:i/>
          <w:sz w:val="24"/>
          <w:szCs w:val="24"/>
        </w:rPr>
      </w:pPr>
      <w:r w:rsidRPr="00F33937">
        <w:rPr>
          <w:rFonts w:ascii="Times New Roman" w:hAnsi="Times New Roman" w:cs="Times New Roman"/>
          <w:b/>
          <w:i/>
          <w:sz w:val="24"/>
          <w:szCs w:val="24"/>
        </w:rPr>
        <w:lastRenderedPageBreak/>
        <w:t>3</w:t>
      </w:r>
      <w:r w:rsidR="00A313EF" w:rsidRPr="00F33937">
        <w:rPr>
          <w:rFonts w:ascii="Times New Roman" w:hAnsi="Times New Roman" w:cs="Times New Roman"/>
          <w:b/>
          <w:i/>
          <w:sz w:val="24"/>
          <w:szCs w:val="24"/>
        </w:rPr>
        <w:t>.4</w:t>
      </w:r>
      <w:r w:rsidR="00A85683" w:rsidRPr="00F33937">
        <w:rPr>
          <w:rFonts w:ascii="Times New Roman" w:hAnsi="Times New Roman" w:cs="Times New Roman"/>
          <w:b/>
          <w:i/>
          <w:sz w:val="24"/>
          <w:szCs w:val="24"/>
        </w:rPr>
        <w:t xml:space="preserve"> – RIGHT TO PRIVACY</w:t>
      </w:r>
    </w:p>
    <w:p w14:paraId="680B8CD6" w14:textId="6C4E4E42" w:rsidR="000065AD" w:rsidRPr="00F33937" w:rsidRDefault="00762CB8" w:rsidP="000065AD">
      <w:pPr>
        <w:spacing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The</w:t>
      </w:r>
      <w:r w:rsidR="00620843" w:rsidRPr="00F33937">
        <w:rPr>
          <w:rFonts w:ascii="Times New Roman" w:hAnsi="Times New Roman" w:cs="Times New Roman"/>
          <w:b/>
          <w:i/>
          <w:sz w:val="24"/>
          <w:szCs w:val="24"/>
        </w:rPr>
        <w:t xml:space="preserve"> </w:t>
      </w:r>
      <w:r w:rsidR="001A74C7" w:rsidRPr="00F33937">
        <w:rPr>
          <w:rFonts w:ascii="Times New Roman" w:hAnsi="Times New Roman" w:cs="Times New Roman"/>
          <w:b/>
          <w:i/>
          <w:sz w:val="24"/>
          <w:szCs w:val="24"/>
        </w:rPr>
        <w:t>State Fa</w:t>
      </w:r>
      <w:r w:rsidR="00952AE6" w:rsidRPr="00F33937">
        <w:rPr>
          <w:rFonts w:ascii="Times New Roman" w:hAnsi="Times New Roman" w:cs="Times New Roman"/>
          <w:b/>
          <w:i/>
          <w:sz w:val="24"/>
          <w:szCs w:val="24"/>
        </w:rPr>
        <w:t xml:space="preserve">iled to Notify Families of </w:t>
      </w:r>
      <w:r w:rsidR="001A74C7" w:rsidRPr="00F33937">
        <w:rPr>
          <w:rFonts w:ascii="Times New Roman" w:hAnsi="Times New Roman" w:cs="Times New Roman"/>
          <w:b/>
          <w:i/>
          <w:sz w:val="24"/>
          <w:szCs w:val="24"/>
        </w:rPr>
        <w:t xml:space="preserve">Surveillance  </w:t>
      </w:r>
    </w:p>
    <w:p w14:paraId="29F3A7F0" w14:textId="65B400C1" w:rsidR="00DE6C86" w:rsidRPr="00F33937" w:rsidRDefault="00BA4BF5" w:rsidP="00E83BD6">
      <w:pPr>
        <w:spacing w:line="480" w:lineRule="auto"/>
        <w:contextualSpacing/>
        <w:rPr>
          <w:rFonts w:ascii="Times New Roman" w:hAnsi="Times New Roman" w:cs="Times New Roman"/>
          <w:sz w:val="24"/>
          <w:szCs w:val="24"/>
        </w:rPr>
      </w:pPr>
      <w:r w:rsidRPr="00F33937">
        <w:rPr>
          <w:rFonts w:ascii="Times New Roman" w:hAnsi="Times New Roman" w:cs="Times New Roman"/>
          <w:b/>
          <w:sz w:val="24"/>
          <w:szCs w:val="24"/>
        </w:rPr>
        <w:tab/>
      </w:r>
      <w:r w:rsidR="00954A88" w:rsidRPr="00F33937">
        <w:rPr>
          <w:rFonts w:ascii="Times New Roman" w:hAnsi="Times New Roman" w:cs="Times New Roman"/>
          <w:sz w:val="24"/>
          <w:szCs w:val="24"/>
        </w:rPr>
        <w:t>Article 11</w:t>
      </w:r>
      <w:r w:rsidR="00954A88" w:rsidRPr="00F33937">
        <w:rPr>
          <w:rFonts w:ascii="Times New Roman" w:hAnsi="Times New Roman" w:cs="Times New Roman"/>
          <w:b/>
          <w:sz w:val="24"/>
          <w:szCs w:val="24"/>
        </w:rPr>
        <w:t xml:space="preserve"> </w:t>
      </w:r>
      <w:r w:rsidR="00954A88" w:rsidRPr="00F33937">
        <w:rPr>
          <w:rFonts w:ascii="Times New Roman" w:hAnsi="Times New Roman" w:cs="Times New Roman"/>
          <w:sz w:val="24"/>
          <w:szCs w:val="24"/>
        </w:rPr>
        <w:t>of the American Convention on Human Rights states, “No one may be the object of arbitrary or abusive interference with his private life, his family, his home, or his correspondence, or of unlawful attacks on his honor or reputation.</w:t>
      </w:r>
      <w:r w:rsidR="00954A88" w:rsidRPr="00F33937">
        <w:rPr>
          <w:rStyle w:val="FootnoteReference"/>
          <w:rFonts w:ascii="Times New Roman" w:hAnsi="Times New Roman" w:cs="Times New Roman"/>
          <w:sz w:val="24"/>
          <w:szCs w:val="24"/>
        </w:rPr>
        <w:footnoteReference w:id="110"/>
      </w:r>
      <w:r w:rsidR="00954A88" w:rsidRPr="00F33937">
        <w:rPr>
          <w:rFonts w:ascii="Times New Roman" w:hAnsi="Times New Roman" w:cs="Times New Roman"/>
          <w:sz w:val="24"/>
          <w:szCs w:val="24"/>
        </w:rPr>
        <w:t xml:space="preserve"> </w:t>
      </w:r>
      <w:r w:rsidR="002838DF" w:rsidRPr="00F33937">
        <w:rPr>
          <w:rFonts w:ascii="Times New Roman" w:hAnsi="Times New Roman" w:cs="Times New Roman"/>
          <w:sz w:val="24"/>
          <w:szCs w:val="24"/>
        </w:rPr>
        <w:t xml:space="preserve"> </w:t>
      </w:r>
      <w:r w:rsidR="00954A88" w:rsidRPr="00F33937">
        <w:rPr>
          <w:rFonts w:ascii="Times New Roman" w:hAnsi="Times New Roman" w:cs="Times New Roman"/>
          <w:sz w:val="24"/>
          <w:szCs w:val="24"/>
        </w:rPr>
        <w:t>Everyone has the right to the protection of the law against such interference or attacks.”</w:t>
      </w:r>
      <w:r w:rsidR="00954A88" w:rsidRPr="00F33937">
        <w:rPr>
          <w:rStyle w:val="FootnoteReference"/>
          <w:rFonts w:ascii="Times New Roman" w:hAnsi="Times New Roman" w:cs="Times New Roman"/>
          <w:sz w:val="24"/>
          <w:szCs w:val="24"/>
        </w:rPr>
        <w:footnoteReference w:id="111"/>
      </w:r>
      <w:r w:rsidR="00DE6C86" w:rsidRPr="00F33937">
        <w:rPr>
          <w:rFonts w:ascii="Times New Roman" w:hAnsi="Times New Roman" w:cs="Times New Roman"/>
          <w:sz w:val="24"/>
          <w:szCs w:val="24"/>
        </w:rPr>
        <w:t xml:space="preserve">  </w:t>
      </w:r>
      <w:r w:rsidR="004949DA" w:rsidRPr="00F33937">
        <w:rPr>
          <w:rFonts w:ascii="Times New Roman" w:hAnsi="Times New Roman" w:cs="Times New Roman"/>
          <w:sz w:val="24"/>
          <w:szCs w:val="24"/>
        </w:rPr>
        <w:t xml:space="preserve">By surveilling </w:t>
      </w:r>
      <w:r w:rsidR="00284669" w:rsidRPr="00F33937">
        <w:rPr>
          <w:rFonts w:ascii="Times New Roman" w:hAnsi="Times New Roman" w:cs="Times New Roman"/>
          <w:sz w:val="24"/>
          <w:szCs w:val="24"/>
        </w:rPr>
        <w:t xml:space="preserve">their home village </w:t>
      </w:r>
      <w:r w:rsidR="004949DA" w:rsidRPr="00F33937">
        <w:rPr>
          <w:rFonts w:ascii="Times New Roman" w:hAnsi="Times New Roman" w:cs="Times New Roman"/>
          <w:sz w:val="24"/>
          <w:szCs w:val="24"/>
        </w:rPr>
        <w:t xml:space="preserve">indiscriminately, </w:t>
      </w:r>
      <w:r w:rsidR="00194241" w:rsidRPr="00F33937">
        <w:rPr>
          <w:rFonts w:ascii="Times New Roman" w:hAnsi="Times New Roman" w:cs="Times New Roman"/>
          <w:sz w:val="24"/>
          <w:szCs w:val="24"/>
        </w:rPr>
        <w:t>clandestinely</w:t>
      </w:r>
      <w:r w:rsidR="004949DA" w:rsidRPr="00F33937">
        <w:rPr>
          <w:rFonts w:ascii="Times New Roman" w:hAnsi="Times New Roman" w:cs="Times New Roman"/>
          <w:sz w:val="24"/>
          <w:szCs w:val="24"/>
        </w:rPr>
        <w:t>, and without prior notice</w:t>
      </w:r>
      <w:r w:rsidR="00284669" w:rsidRPr="00F33937">
        <w:rPr>
          <w:rFonts w:ascii="Times New Roman" w:hAnsi="Times New Roman" w:cs="Times New Roman"/>
          <w:sz w:val="24"/>
          <w:szCs w:val="24"/>
        </w:rPr>
        <w:t>,</w:t>
      </w:r>
      <w:r w:rsidR="00000317" w:rsidRPr="00F33937">
        <w:rPr>
          <w:rStyle w:val="FootnoteReference"/>
          <w:rFonts w:ascii="Times New Roman" w:hAnsi="Times New Roman" w:cs="Times New Roman"/>
          <w:sz w:val="24"/>
          <w:szCs w:val="24"/>
        </w:rPr>
        <w:footnoteReference w:id="112"/>
      </w:r>
      <w:r w:rsidR="00954A88" w:rsidRPr="00F33937">
        <w:rPr>
          <w:rFonts w:ascii="Times New Roman" w:hAnsi="Times New Roman" w:cs="Times New Roman"/>
          <w:sz w:val="24"/>
          <w:szCs w:val="24"/>
        </w:rPr>
        <w:t xml:space="preserve"> </w:t>
      </w:r>
      <w:r w:rsidR="00692388" w:rsidRPr="00F33937">
        <w:rPr>
          <w:rFonts w:ascii="Times New Roman" w:hAnsi="Times New Roman" w:cs="Times New Roman"/>
          <w:sz w:val="24"/>
          <w:szCs w:val="24"/>
        </w:rPr>
        <w:t xml:space="preserve">the State made Petitioners’ home </w:t>
      </w:r>
      <w:r w:rsidR="00954A88" w:rsidRPr="00F33937">
        <w:rPr>
          <w:rFonts w:ascii="Times New Roman" w:hAnsi="Times New Roman" w:cs="Times New Roman"/>
          <w:sz w:val="24"/>
          <w:szCs w:val="24"/>
        </w:rPr>
        <w:t>the object of abusive interference.</w:t>
      </w:r>
      <w:r w:rsidR="00DE6C86" w:rsidRPr="00F33937">
        <w:rPr>
          <w:rFonts w:ascii="Times New Roman" w:hAnsi="Times New Roman" w:cs="Times New Roman"/>
          <w:sz w:val="24"/>
          <w:szCs w:val="24"/>
        </w:rPr>
        <w:t xml:space="preserve">  </w:t>
      </w:r>
    </w:p>
    <w:p w14:paraId="78725EE2" w14:textId="289D7156" w:rsidR="00E83BD6" w:rsidRPr="00F33937" w:rsidRDefault="00DE6C86" w:rsidP="00E83BD6">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9A7672" w:rsidRPr="00F33937">
        <w:rPr>
          <w:rFonts w:ascii="Times New Roman" w:hAnsi="Times New Roman" w:cs="Times New Roman"/>
          <w:sz w:val="24"/>
          <w:szCs w:val="24"/>
        </w:rPr>
        <w:t>Petitioners are</w:t>
      </w:r>
      <w:r w:rsidR="000A400E" w:rsidRPr="00F33937">
        <w:rPr>
          <w:rFonts w:ascii="Times New Roman" w:hAnsi="Times New Roman" w:cs="Times New Roman"/>
          <w:sz w:val="24"/>
          <w:szCs w:val="24"/>
        </w:rPr>
        <w:t xml:space="preserve"> persons whose ancestry includes</w:t>
      </w:r>
      <w:r w:rsidR="00954A88" w:rsidRPr="00F33937">
        <w:rPr>
          <w:rFonts w:ascii="Times New Roman" w:hAnsi="Times New Roman" w:cs="Times New Roman"/>
          <w:sz w:val="24"/>
          <w:szCs w:val="24"/>
        </w:rPr>
        <w:t xml:space="preserve"> indigenous tribes of Western Charechia.</w:t>
      </w:r>
      <w:r w:rsidR="00954A88" w:rsidRPr="00F33937">
        <w:rPr>
          <w:rStyle w:val="FootnoteReference"/>
          <w:rFonts w:ascii="Times New Roman" w:hAnsi="Times New Roman" w:cs="Times New Roman"/>
          <w:sz w:val="24"/>
          <w:szCs w:val="24"/>
        </w:rPr>
        <w:footnoteReference w:id="113"/>
      </w:r>
      <w:r w:rsidR="00610D1C" w:rsidRPr="00F33937">
        <w:rPr>
          <w:rFonts w:ascii="Times New Roman" w:hAnsi="Times New Roman" w:cs="Times New Roman"/>
          <w:sz w:val="24"/>
          <w:szCs w:val="24"/>
        </w:rPr>
        <w:t xml:space="preserve"> </w:t>
      </w:r>
      <w:r w:rsidR="002838DF" w:rsidRPr="00F33937">
        <w:rPr>
          <w:rFonts w:ascii="Times New Roman" w:hAnsi="Times New Roman" w:cs="Times New Roman"/>
          <w:sz w:val="24"/>
          <w:szCs w:val="24"/>
        </w:rPr>
        <w:t xml:space="preserve"> </w:t>
      </w:r>
      <w:r w:rsidR="00610D1C" w:rsidRPr="00F33937">
        <w:rPr>
          <w:rFonts w:ascii="Times New Roman" w:hAnsi="Times New Roman" w:cs="Times New Roman"/>
          <w:sz w:val="24"/>
          <w:szCs w:val="24"/>
        </w:rPr>
        <w:t>A</w:t>
      </w:r>
      <w:r w:rsidR="00983E8C" w:rsidRPr="00F33937">
        <w:rPr>
          <w:rFonts w:ascii="Times New Roman" w:hAnsi="Times New Roman" w:cs="Times New Roman"/>
          <w:sz w:val="24"/>
          <w:szCs w:val="24"/>
        </w:rPr>
        <w:t>s previous arg</w:t>
      </w:r>
      <w:r w:rsidR="00610D1C" w:rsidRPr="00F33937">
        <w:rPr>
          <w:rFonts w:ascii="Times New Roman" w:hAnsi="Times New Roman" w:cs="Times New Roman"/>
          <w:sz w:val="24"/>
          <w:szCs w:val="24"/>
        </w:rPr>
        <w:t xml:space="preserve">uments show, indigenous persons possess the </w:t>
      </w:r>
      <w:r w:rsidR="00983E8C" w:rsidRPr="00F33937">
        <w:rPr>
          <w:rFonts w:ascii="Times New Roman" w:hAnsi="Times New Roman" w:cs="Times New Roman"/>
          <w:sz w:val="24"/>
          <w:szCs w:val="24"/>
        </w:rPr>
        <w:t>right to their ancestral home</w:t>
      </w:r>
      <w:r w:rsidR="00026EBF" w:rsidRPr="00F33937">
        <w:rPr>
          <w:rStyle w:val="FootnoteReference"/>
          <w:rFonts w:ascii="Times New Roman" w:hAnsi="Times New Roman" w:cs="Times New Roman"/>
          <w:sz w:val="24"/>
          <w:szCs w:val="24"/>
        </w:rPr>
        <w:footnoteReference w:id="114"/>
      </w:r>
      <w:r w:rsidR="00D26A81" w:rsidRPr="00F33937">
        <w:rPr>
          <w:rFonts w:ascii="Times New Roman" w:hAnsi="Times New Roman" w:cs="Times New Roman"/>
          <w:sz w:val="24"/>
          <w:szCs w:val="24"/>
        </w:rPr>
        <w:t>,</w:t>
      </w:r>
      <w:r w:rsidR="00983E8C" w:rsidRPr="00F33937">
        <w:rPr>
          <w:rStyle w:val="FootnoteReference"/>
          <w:rFonts w:ascii="Times New Roman" w:hAnsi="Times New Roman" w:cs="Times New Roman"/>
          <w:sz w:val="24"/>
          <w:szCs w:val="24"/>
        </w:rPr>
        <w:footnoteReference w:id="115"/>
      </w:r>
      <w:r w:rsidR="001243EF">
        <w:rPr>
          <w:rFonts w:ascii="Times New Roman" w:hAnsi="Times New Roman" w:cs="Times New Roman"/>
          <w:sz w:val="24"/>
          <w:szCs w:val="24"/>
        </w:rPr>
        <w:t xml:space="preserve"> </w:t>
      </w:r>
      <w:r w:rsidR="007D04DE" w:rsidRPr="00F33937">
        <w:rPr>
          <w:rFonts w:ascii="Times New Roman" w:hAnsi="Times New Roman" w:cs="Times New Roman"/>
          <w:sz w:val="24"/>
          <w:szCs w:val="24"/>
        </w:rPr>
        <w:t xml:space="preserve">and homes here possess </w:t>
      </w:r>
      <w:r w:rsidR="000A400E" w:rsidRPr="00F33937">
        <w:rPr>
          <w:rFonts w:ascii="Times New Roman" w:hAnsi="Times New Roman" w:cs="Times New Roman"/>
          <w:sz w:val="24"/>
          <w:szCs w:val="24"/>
        </w:rPr>
        <w:t>guarantee</w:t>
      </w:r>
      <w:r w:rsidR="000E6BC6" w:rsidRPr="00F33937">
        <w:rPr>
          <w:rFonts w:ascii="Times New Roman" w:hAnsi="Times New Roman" w:cs="Times New Roman"/>
          <w:sz w:val="24"/>
          <w:szCs w:val="24"/>
        </w:rPr>
        <w:t>s</w:t>
      </w:r>
      <w:r w:rsidR="000A400E" w:rsidRPr="00F33937">
        <w:rPr>
          <w:rFonts w:ascii="Times New Roman" w:hAnsi="Times New Roman" w:cs="Times New Roman"/>
          <w:sz w:val="24"/>
          <w:szCs w:val="24"/>
        </w:rPr>
        <w:t xml:space="preserve"> of priv</w:t>
      </w:r>
      <w:r w:rsidR="007D04DE" w:rsidRPr="00F33937">
        <w:rPr>
          <w:rFonts w:ascii="Times New Roman" w:hAnsi="Times New Roman" w:cs="Times New Roman"/>
          <w:sz w:val="24"/>
          <w:szCs w:val="24"/>
        </w:rPr>
        <w:t>acy</w:t>
      </w:r>
      <w:r w:rsidR="00794BED" w:rsidRPr="00F33937">
        <w:rPr>
          <w:rFonts w:ascii="Times New Roman" w:hAnsi="Times New Roman" w:cs="Times New Roman"/>
          <w:sz w:val="24"/>
          <w:szCs w:val="24"/>
        </w:rPr>
        <w:t xml:space="preserve">, which </w:t>
      </w:r>
      <w:r w:rsidR="000A400E" w:rsidRPr="00F33937">
        <w:rPr>
          <w:rFonts w:ascii="Times New Roman" w:hAnsi="Times New Roman" w:cs="Times New Roman"/>
          <w:sz w:val="24"/>
          <w:szCs w:val="24"/>
        </w:rPr>
        <w:t xml:space="preserve">international laws </w:t>
      </w:r>
      <w:r w:rsidR="008070AE" w:rsidRPr="00F33937">
        <w:rPr>
          <w:rFonts w:ascii="Times New Roman" w:hAnsi="Times New Roman" w:cs="Times New Roman"/>
          <w:sz w:val="24"/>
          <w:szCs w:val="24"/>
        </w:rPr>
        <w:t>affirm.</w:t>
      </w:r>
      <w:r w:rsidR="00FD2965" w:rsidRPr="00F33937">
        <w:rPr>
          <w:rStyle w:val="FootnoteReference"/>
          <w:rFonts w:ascii="Times New Roman" w:hAnsi="Times New Roman" w:cs="Times New Roman"/>
          <w:sz w:val="24"/>
          <w:szCs w:val="24"/>
        </w:rPr>
        <w:footnoteReference w:id="116"/>
      </w:r>
      <w:r w:rsidR="004E6BC8" w:rsidRPr="00F33937">
        <w:rPr>
          <w:rFonts w:ascii="Times New Roman" w:hAnsi="Times New Roman" w:cs="Times New Roman"/>
          <w:sz w:val="24"/>
          <w:szCs w:val="24"/>
        </w:rPr>
        <w:t xml:space="preserve">  </w:t>
      </w:r>
      <w:r w:rsidR="00F05CF0" w:rsidRPr="00F33937">
        <w:rPr>
          <w:rFonts w:ascii="Times New Roman" w:hAnsi="Times New Roman" w:cs="Times New Roman"/>
          <w:sz w:val="24"/>
          <w:szCs w:val="24"/>
        </w:rPr>
        <w:t>The Western Charechia</w:t>
      </w:r>
      <w:r w:rsidR="00D26A81" w:rsidRPr="00F33937">
        <w:rPr>
          <w:rFonts w:ascii="Times New Roman" w:hAnsi="Times New Roman" w:cs="Times New Roman"/>
          <w:sz w:val="24"/>
          <w:szCs w:val="24"/>
        </w:rPr>
        <w:t>n</w:t>
      </w:r>
      <w:r w:rsidR="00F05CF0" w:rsidRPr="00F33937">
        <w:rPr>
          <w:rFonts w:ascii="Times New Roman" w:hAnsi="Times New Roman" w:cs="Times New Roman"/>
          <w:sz w:val="24"/>
          <w:szCs w:val="24"/>
        </w:rPr>
        <w:t xml:space="preserve"> villa</w:t>
      </w:r>
      <w:r w:rsidR="00800ED3" w:rsidRPr="00F33937">
        <w:rPr>
          <w:rFonts w:ascii="Times New Roman" w:hAnsi="Times New Roman" w:cs="Times New Roman"/>
          <w:sz w:val="24"/>
          <w:szCs w:val="24"/>
        </w:rPr>
        <w:t xml:space="preserve">ge of Paraio constitutes </w:t>
      </w:r>
      <w:r w:rsidR="00F05CF0" w:rsidRPr="00F33937">
        <w:rPr>
          <w:rFonts w:ascii="Times New Roman" w:hAnsi="Times New Roman" w:cs="Times New Roman"/>
          <w:sz w:val="24"/>
          <w:szCs w:val="24"/>
        </w:rPr>
        <w:t>local indigenous persons’ home</w:t>
      </w:r>
      <w:r w:rsidR="009A7672" w:rsidRPr="00F33937">
        <w:rPr>
          <w:rFonts w:ascii="Times New Roman" w:hAnsi="Times New Roman" w:cs="Times New Roman"/>
          <w:sz w:val="24"/>
          <w:szCs w:val="24"/>
        </w:rPr>
        <w:t>,</w:t>
      </w:r>
      <w:r w:rsidR="006E6B23" w:rsidRPr="00F33937">
        <w:rPr>
          <w:rFonts w:ascii="Times New Roman" w:hAnsi="Times New Roman" w:cs="Times New Roman"/>
          <w:sz w:val="24"/>
          <w:szCs w:val="24"/>
        </w:rPr>
        <w:t xml:space="preserve"> of which Petitioners were residents</w:t>
      </w:r>
      <w:r w:rsidR="002B7CF6" w:rsidRPr="00F33937">
        <w:rPr>
          <w:rFonts w:ascii="Times New Roman" w:hAnsi="Times New Roman" w:cs="Times New Roman"/>
          <w:sz w:val="24"/>
          <w:szCs w:val="24"/>
        </w:rPr>
        <w:t xml:space="preserve"> at the time of the August 16, 2017 massacre.</w:t>
      </w:r>
      <w:r w:rsidR="009A7672" w:rsidRPr="00F33937">
        <w:rPr>
          <w:rStyle w:val="FootnoteReference"/>
          <w:rFonts w:ascii="Times New Roman" w:hAnsi="Times New Roman" w:cs="Times New Roman"/>
          <w:sz w:val="24"/>
          <w:szCs w:val="24"/>
        </w:rPr>
        <w:footnoteReference w:id="117"/>
      </w:r>
      <w:r w:rsidR="006E6B23" w:rsidRPr="00F33937">
        <w:rPr>
          <w:rFonts w:ascii="Times New Roman" w:hAnsi="Times New Roman" w:cs="Times New Roman"/>
          <w:sz w:val="24"/>
          <w:szCs w:val="24"/>
        </w:rPr>
        <w:t xml:space="preserve"> </w:t>
      </w:r>
    </w:p>
    <w:p w14:paraId="37F04543" w14:textId="57805D3F" w:rsidR="00AB5AF1" w:rsidRPr="00F33937" w:rsidRDefault="00E83BD6" w:rsidP="00E83BD6">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4E6BC8" w:rsidRPr="00F33937">
        <w:rPr>
          <w:rFonts w:ascii="Times New Roman" w:hAnsi="Times New Roman" w:cs="Times New Roman"/>
          <w:sz w:val="24"/>
          <w:szCs w:val="24"/>
        </w:rPr>
        <w:t xml:space="preserve">In the wake of </w:t>
      </w:r>
      <w:r w:rsidR="00AB5AF1" w:rsidRPr="00F33937">
        <w:rPr>
          <w:rFonts w:ascii="Times New Roman" w:hAnsi="Times New Roman" w:cs="Times New Roman"/>
          <w:sz w:val="24"/>
          <w:szCs w:val="24"/>
        </w:rPr>
        <w:t xml:space="preserve">the </w:t>
      </w:r>
      <w:r w:rsidR="00800EE3" w:rsidRPr="00F33937">
        <w:rPr>
          <w:rFonts w:ascii="Times New Roman" w:hAnsi="Times New Roman" w:cs="Times New Roman"/>
          <w:sz w:val="24"/>
          <w:szCs w:val="24"/>
        </w:rPr>
        <w:t xml:space="preserve">increasing number and use of </w:t>
      </w:r>
      <w:r w:rsidR="004E6BC8" w:rsidRPr="00F33937">
        <w:rPr>
          <w:rFonts w:ascii="Times New Roman" w:hAnsi="Times New Roman" w:cs="Times New Roman"/>
          <w:sz w:val="24"/>
          <w:szCs w:val="24"/>
        </w:rPr>
        <w:t xml:space="preserve">surveillance technologies </w:t>
      </w:r>
      <w:r w:rsidR="00AB5AF1" w:rsidRPr="00F33937">
        <w:rPr>
          <w:rFonts w:ascii="Times New Roman" w:hAnsi="Times New Roman" w:cs="Times New Roman"/>
          <w:sz w:val="24"/>
          <w:szCs w:val="24"/>
        </w:rPr>
        <w:t xml:space="preserve">in recent years, </w:t>
      </w:r>
      <w:r w:rsidR="004E6BC8" w:rsidRPr="00F33937">
        <w:rPr>
          <w:rFonts w:ascii="Times New Roman" w:hAnsi="Times New Roman" w:cs="Times New Roman"/>
          <w:sz w:val="24"/>
          <w:szCs w:val="24"/>
        </w:rPr>
        <w:t xml:space="preserve">the OAS Office of Special Rapporteur </w:t>
      </w:r>
      <w:r w:rsidR="00800EE3" w:rsidRPr="00F33937">
        <w:rPr>
          <w:rFonts w:ascii="Times New Roman" w:hAnsi="Times New Roman" w:cs="Times New Roman"/>
          <w:sz w:val="24"/>
          <w:szCs w:val="24"/>
        </w:rPr>
        <w:t xml:space="preserve">has warned </w:t>
      </w:r>
      <w:r w:rsidR="00E81BF8" w:rsidRPr="00F33937">
        <w:rPr>
          <w:rFonts w:ascii="Times New Roman" w:hAnsi="Times New Roman" w:cs="Times New Roman"/>
          <w:sz w:val="24"/>
          <w:szCs w:val="24"/>
        </w:rPr>
        <w:t>Member States of their obligations toward</w:t>
      </w:r>
      <w:r w:rsidR="002D44EF" w:rsidRPr="00F33937">
        <w:rPr>
          <w:rFonts w:ascii="Times New Roman" w:hAnsi="Times New Roman" w:cs="Times New Roman"/>
          <w:sz w:val="24"/>
          <w:szCs w:val="24"/>
        </w:rPr>
        <w:t xml:space="preserve">, </w:t>
      </w:r>
      <w:r w:rsidR="002D44EF" w:rsidRPr="00F33937">
        <w:rPr>
          <w:rFonts w:ascii="Times New Roman" w:hAnsi="Times New Roman" w:cs="Times New Roman"/>
          <w:i/>
          <w:sz w:val="24"/>
          <w:szCs w:val="24"/>
        </w:rPr>
        <w:t>inter alia</w:t>
      </w:r>
      <w:r w:rsidR="002D44EF" w:rsidRPr="00F33937">
        <w:rPr>
          <w:rFonts w:ascii="Times New Roman" w:hAnsi="Times New Roman" w:cs="Times New Roman"/>
          <w:sz w:val="24"/>
          <w:szCs w:val="24"/>
        </w:rPr>
        <w:t>,</w:t>
      </w:r>
      <w:r w:rsidR="00E81BF8" w:rsidRPr="00F33937">
        <w:rPr>
          <w:rFonts w:ascii="Times New Roman" w:hAnsi="Times New Roman" w:cs="Times New Roman"/>
          <w:sz w:val="24"/>
          <w:szCs w:val="24"/>
        </w:rPr>
        <w:t xml:space="preserve"> specificity of target</w:t>
      </w:r>
      <w:r w:rsidR="00DE4093" w:rsidRPr="00F33937">
        <w:rPr>
          <w:rFonts w:ascii="Times New Roman" w:hAnsi="Times New Roman" w:cs="Times New Roman"/>
          <w:sz w:val="24"/>
          <w:szCs w:val="24"/>
        </w:rPr>
        <w:t>, user notification,</w:t>
      </w:r>
      <w:r w:rsidR="00E81BF8" w:rsidRPr="00F33937">
        <w:rPr>
          <w:rFonts w:ascii="Times New Roman" w:hAnsi="Times New Roman" w:cs="Times New Roman"/>
          <w:sz w:val="24"/>
          <w:szCs w:val="24"/>
        </w:rPr>
        <w:t xml:space="preserve"> and </w:t>
      </w:r>
      <w:r w:rsidR="002D44EF" w:rsidRPr="00F33937">
        <w:rPr>
          <w:rFonts w:ascii="Times New Roman" w:hAnsi="Times New Roman" w:cs="Times New Roman"/>
          <w:sz w:val="24"/>
          <w:szCs w:val="24"/>
        </w:rPr>
        <w:t xml:space="preserve">legality of </w:t>
      </w:r>
      <w:r w:rsidR="002838DF" w:rsidRPr="00F33937">
        <w:rPr>
          <w:rFonts w:ascii="Times New Roman" w:hAnsi="Times New Roman" w:cs="Times New Roman"/>
          <w:sz w:val="24"/>
          <w:szCs w:val="24"/>
        </w:rPr>
        <w:t xml:space="preserve">information </w:t>
      </w:r>
      <w:r w:rsidR="002D44EF" w:rsidRPr="00F33937">
        <w:rPr>
          <w:rFonts w:ascii="Times New Roman" w:hAnsi="Times New Roman" w:cs="Times New Roman"/>
          <w:sz w:val="24"/>
          <w:szCs w:val="24"/>
        </w:rPr>
        <w:t>collection.</w:t>
      </w:r>
      <w:r w:rsidR="002D44EF" w:rsidRPr="00F33937">
        <w:rPr>
          <w:rStyle w:val="FootnoteReference"/>
          <w:rFonts w:ascii="Times New Roman" w:hAnsi="Times New Roman" w:cs="Times New Roman"/>
          <w:sz w:val="24"/>
          <w:szCs w:val="24"/>
        </w:rPr>
        <w:footnoteReference w:id="118"/>
      </w:r>
      <w:r w:rsidR="002D44EF" w:rsidRPr="00F33937">
        <w:rPr>
          <w:rFonts w:ascii="Times New Roman" w:hAnsi="Times New Roman" w:cs="Times New Roman"/>
          <w:sz w:val="24"/>
          <w:szCs w:val="24"/>
        </w:rPr>
        <w:t xml:space="preserve">  Similarly, proportionality of surveillance, as illuminated</w:t>
      </w:r>
      <w:r w:rsidR="00E6487F" w:rsidRPr="00F33937">
        <w:rPr>
          <w:rFonts w:ascii="Times New Roman" w:hAnsi="Times New Roman" w:cs="Times New Roman"/>
          <w:sz w:val="24"/>
          <w:szCs w:val="24"/>
        </w:rPr>
        <w:t xml:space="preserve"> in the </w:t>
      </w:r>
      <w:r w:rsidR="002838DF" w:rsidRPr="00F33937">
        <w:rPr>
          <w:rFonts w:ascii="Times New Roman" w:hAnsi="Times New Roman" w:cs="Times New Roman"/>
          <w:sz w:val="24"/>
          <w:szCs w:val="24"/>
        </w:rPr>
        <w:t xml:space="preserve">2015 </w:t>
      </w:r>
      <w:r w:rsidR="00E6487F" w:rsidRPr="00F33937">
        <w:rPr>
          <w:rFonts w:ascii="Times New Roman" w:hAnsi="Times New Roman" w:cs="Times New Roman"/>
          <w:sz w:val="24"/>
          <w:szCs w:val="24"/>
        </w:rPr>
        <w:t>Special Rapporteur’s report</w:t>
      </w:r>
      <w:r w:rsidR="002838DF" w:rsidRPr="00F33937">
        <w:rPr>
          <w:rFonts w:ascii="Times New Roman" w:hAnsi="Times New Roman" w:cs="Times New Roman"/>
          <w:sz w:val="24"/>
          <w:szCs w:val="24"/>
        </w:rPr>
        <w:t xml:space="preserve"> on implementation of surveillance programs by Member States</w:t>
      </w:r>
      <w:r w:rsidR="004C1153" w:rsidRPr="00F33937">
        <w:rPr>
          <w:rFonts w:ascii="Times New Roman" w:hAnsi="Times New Roman" w:cs="Times New Roman"/>
          <w:sz w:val="24"/>
          <w:szCs w:val="24"/>
        </w:rPr>
        <w:t xml:space="preserve">, </w:t>
      </w:r>
      <w:r w:rsidR="000F5230" w:rsidRPr="00F33937">
        <w:rPr>
          <w:rFonts w:ascii="Times New Roman" w:hAnsi="Times New Roman" w:cs="Times New Roman"/>
          <w:sz w:val="24"/>
          <w:szCs w:val="24"/>
        </w:rPr>
        <w:t xml:space="preserve">explains </w:t>
      </w:r>
      <w:r w:rsidR="00DE6C86" w:rsidRPr="00F33937">
        <w:rPr>
          <w:rFonts w:ascii="Times New Roman" w:hAnsi="Times New Roman" w:cs="Times New Roman"/>
          <w:sz w:val="24"/>
          <w:szCs w:val="24"/>
        </w:rPr>
        <w:t xml:space="preserve">that government </w:t>
      </w:r>
      <w:r w:rsidR="00DE6C86" w:rsidRPr="00F33937">
        <w:rPr>
          <w:rFonts w:ascii="Times New Roman" w:hAnsi="Times New Roman" w:cs="Times New Roman"/>
          <w:sz w:val="24"/>
          <w:szCs w:val="24"/>
        </w:rPr>
        <w:lastRenderedPageBreak/>
        <w:t>surveillance</w:t>
      </w:r>
      <w:r w:rsidR="00E6487F" w:rsidRPr="00F33937">
        <w:rPr>
          <w:rFonts w:ascii="Times New Roman" w:hAnsi="Times New Roman" w:cs="Times New Roman"/>
          <w:sz w:val="24"/>
          <w:szCs w:val="24"/>
          <w:shd w:val="clear" w:color="auto" w:fill="FFFFFF"/>
        </w:rPr>
        <w:t xml:space="preserve"> </w:t>
      </w:r>
      <w:r w:rsidR="00DE6C86" w:rsidRPr="00F33937">
        <w:rPr>
          <w:rFonts w:ascii="Times New Roman" w:hAnsi="Times New Roman" w:cs="Times New Roman"/>
          <w:sz w:val="24"/>
          <w:szCs w:val="24"/>
          <w:shd w:val="clear" w:color="auto" w:fill="FFFFFF"/>
        </w:rPr>
        <w:t>“</w:t>
      </w:r>
      <w:r w:rsidR="00E6487F" w:rsidRPr="00F33937">
        <w:rPr>
          <w:rFonts w:ascii="Times New Roman" w:hAnsi="Times New Roman" w:cs="Times New Roman"/>
          <w:sz w:val="24"/>
          <w:szCs w:val="24"/>
          <w:shd w:val="clear" w:color="auto" w:fill="FFFFFF"/>
        </w:rPr>
        <w:t xml:space="preserve">should be . . . </w:t>
      </w:r>
      <w:r w:rsidR="004E6BC8" w:rsidRPr="00F33937">
        <w:rPr>
          <w:rFonts w:ascii="Times New Roman" w:hAnsi="Times New Roman" w:cs="Times New Roman"/>
          <w:sz w:val="24"/>
          <w:szCs w:val="24"/>
          <w:shd w:val="clear" w:color="auto" w:fill="FFFFFF"/>
        </w:rPr>
        <w:t>genuinely exceptional and selective, and must be strictly limited to the needs to meet compelling objectives</w:t>
      </w:r>
      <w:r w:rsidR="00164332" w:rsidRPr="00F33937">
        <w:rPr>
          <w:rFonts w:ascii="Times New Roman" w:hAnsi="Times New Roman" w:cs="Times New Roman"/>
          <w:sz w:val="24"/>
          <w:szCs w:val="24"/>
          <w:shd w:val="clear" w:color="auto" w:fill="FFFFFF"/>
        </w:rPr>
        <w:t>,</w:t>
      </w:r>
      <w:r w:rsidR="004E6BC8" w:rsidRPr="00F33937">
        <w:rPr>
          <w:rFonts w:ascii="Times New Roman" w:hAnsi="Times New Roman" w:cs="Times New Roman"/>
          <w:sz w:val="24"/>
          <w:szCs w:val="24"/>
          <w:shd w:val="clear" w:color="auto" w:fill="FFFFFF"/>
        </w:rPr>
        <w:t xml:space="preserve"> such as the investigation of serious</w:t>
      </w:r>
      <w:r w:rsidR="00E6487F" w:rsidRPr="00F33937">
        <w:rPr>
          <w:rFonts w:ascii="Times New Roman" w:hAnsi="Times New Roman" w:cs="Times New Roman"/>
          <w:sz w:val="24"/>
          <w:szCs w:val="24"/>
          <w:shd w:val="clear" w:color="auto" w:fill="FFFFFF"/>
        </w:rPr>
        <w:t xml:space="preserve"> crime </w:t>
      </w:r>
      <w:r w:rsidR="004E6BC8" w:rsidRPr="00F33937">
        <w:rPr>
          <w:rFonts w:ascii="Times New Roman" w:hAnsi="Times New Roman" w:cs="Times New Roman"/>
          <w:sz w:val="24"/>
          <w:szCs w:val="24"/>
          <w:shd w:val="clear" w:color="auto" w:fill="FFFFFF"/>
        </w:rPr>
        <w:t>.</w:t>
      </w:r>
      <w:r w:rsidR="00E6487F" w:rsidRPr="00F33937">
        <w:rPr>
          <w:rFonts w:ascii="Times New Roman" w:hAnsi="Times New Roman" w:cs="Times New Roman"/>
          <w:sz w:val="24"/>
          <w:szCs w:val="24"/>
          <w:shd w:val="clear" w:color="auto" w:fill="FFFFFF"/>
        </w:rPr>
        <w:t xml:space="preserve"> . . . </w:t>
      </w:r>
      <w:r w:rsidR="004E6BC8" w:rsidRPr="00F33937">
        <w:rPr>
          <w:rFonts w:ascii="Times New Roman" w:hAnsi="Times New Roman" w:cs="Times New Roman"/>
          <w:sz w:val="24"/>
          <w:szCs w:val="24"/>
          <w:shd w:val="clear" w:color="auto" w:fill="FFFFFF"/>
        </w:rPr>
        <w:t>Such restrictions must be strictly propor</w:t>
      </w:r>
      <w:r w:rsidR="00742F39" w:rsidRPr="00F33937">
        <w:rPr>
          <w:rFonts w:ascii="Times New Roman" w:hAnsi="Times New Roman" w:cs="Times New Roman"/>
          <w:sz w:val="24"/>
          <w:szCs w:val="24"/>
          <w:shd w:val="clear" w:color="auto" w:fill="FFFFFF"/>
        </w:rPr>
        <w:t xml:space="preserve">tionate and consistent with . . . </w:t>
      </w:r>
      <w:r w:rsidR="004E6BC8" w:rsidRPr="00F33937">
        <w:rPr>
          <w:rFonts w:ascii="Times New Roman" w:hAnsi="Times New Roman" w:cs="Times New Roman"/>
          <w:sz w:val="24"/>
          <w:szCs w:val="24"/>
          <w:shd w:val="clear" w:color="auto" w:fill="FFFFFF"/>
        </w:rPr>
        <w:t>inter</w:t>
      </w:r>
      <w:r w:rsidR="00161B81" w:rsidRPr="00F33937">
        <w:rPr>
          <w:rFonts w:ascii="Times New Roman" w:hAnsi="Times New Roman" w:cs="Times New Roman"/>
          <w:sz w:val="24"/>
          <w:szCs w:val="24"/>
          <w:shd w:val="clear" w:color="auto" w:fill="FFFFFF"/>
        </w:rPr>
        <w:t>national standards . . . .</w:t>
      </w:r>
      <w:r w:rsidR="000F5230" w:rsidRPr="00F33937">
        <w:rPr>
          <w:rFonts w:ascii="Times New Roman" w:hAnsi="Times New Roman" w:cs="Times New Roman"/>
          <w:sz w:val="24"/>
          <w:szCs w:val="24"/>
          <w:shd w:val="clear" w:color="auto" w:fill="FFFFFF"/>
        </w:rPr>
        <w:t>”</w:t>
      </w:r>
      <w:r w:rsidR="000F5230" w:rsidRPr="00F33937">
        <w:rPr>
          <w:rStyle w:val="FootnoteReference"/>
          <w:rFonts w:ascii="Times New Roman" w:hAnsi="Times New Roman" w:cs="Times New Roman"/>
          <w:sz w:val="24"/>
          <w:szCs w:val="24"/>
          <w:shd w:val="clear" w:color="auto" w:fill="FFFFFF"/>
        </w:rPr>
        <w:footnoteReference w:id="119"/>
      </w:r>
      <w:r w:rsidR="004E6BC8" w:rsidRPr="00F33937">
        <w:rPr>
          <w:rFonts w:ascii="Times New Roman" w:hAnsi="Times New Roman" w:cs="Times New Roman"/>
          <w:sz w:val="24"/>
          <w:szCs w:val="24"/>
          <w:shd w:val="clear" w:color="auto" w:fill="FFFFFF"/>
        </w:rPr>
        <w:t xml:space="preserve"> </w:t>
      </w:r>
      <w:r w:rsidR="002C4263" w:rsidRPr="00F33937">
        <w:rPr>
          <w:rFonts w:ascii="Times New Roman" w:hAnsi="Times New Roman" w:cs="Times New Roman"/>
          <w:sz w:val="24"/>
          <w:szCs w:val="24"/>
          <w:shd w:val="clear" w:color="auto" w:fill="FFFFFF"/>
        </w:rPr>
        <w:t xml:space="preserve"> </w:t>
      </w:r>
    </w:p>
    <w:p w14:paraId="759A6452" w14:textId="4FF26530" w:rsidR="00683E9A" w:rsidRPr="00F33937" w:rsidRDefault="00683E9A" w:rsidP="00683E9A">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 xml:space="preserve">In the matter of Charechia’s </w:t>
      </w:r>
      <w:r w:rsidR="007E35B5" w:rsidRPr="00F33937">
        <w:rPr>
          <w:rFonts w:ascii="Times New Roman" w:hAnsi="Times New Roman" w:cs="Times New Roman"/>
          <w:sz w:val="24"/>
          <w:szCs w:val="24"/>
        </w:rPr>
        <w:t xml:space="preserve">recent </w:t>
      </w:r>
      <w:r w:rsidRPr="00F33937">
        <w:rPr>
          <w:rFonts w:ascii="Times New Roman" w:hAnsi="Times New Roman" w:cs="Times New Roman"/>
          <w:sz w:val="24"/>
          <w:szCs w:val="24"/>
        </w:rPr>
        <w:t>dissent oppression, the State reported its reconnaissance budget for anti-government disruption operations as “significant,”</w:t>
      </w:r>
      <w:r w:rsidRPr="00F33937">
        <w:rPr>
          <w:rStyle w:val="FootnoteReference"/>
          <w:rFonts w:ascii="Times New Roman" w:hAnsi="Times New Roman" w:cs="Times New Roman"/>
          <w:sz w:val="24"/>
          <w:szCs w:val="24"/>
        </w:rPr>
        <w:footnoteReference w:id="120"/>
      </w:r>
      <w:r w:rsidRPr="00F33937">
        <w:rPr>
          <w:rFonts w:ascii="Times New Roman" w:hAnsi="Times New Roman" w:cs="Times New Roman"/>
          <w:sz w:val="24"/>
          <w:szCs w:val="24"/>
        </w:rPr>
        <w:t xml:space="preserve"> yet the State chose to utilize upon Paraio village surveillance imprecise enough to map each person in the vicinity</w:t>
      </w:r>
      <w:r w:rsidRPr="00F33937">
        <w:rPr>
          <w:rStyle w:val="FootnoteReference"/>
          <w:rFonts w:ascii="Times New Roman" w:hAnsi="Times New Roman" w:cs="Times New Roman"/>
          <w:sz w:val="24"/>
          <w:szCs w:val="24"/>
        </w:rPr>
        <w:footnoteReference w:id="121"/>
      </w:r>
      <w:r w:rsidRPr="00F33937">
        <w:rPr>
          <w:rFonts w:ascii="Times New Roman" w:hAnsi="Times New Roman" w:cs="Times New Roman"/>
          <w:sz w:val="24"/>
          <w:szCs w:val="24"/>
        </w:rPr>
        <w:t xml:space="preserve"> whose height constitutes a minimum of 12 inches.</w:t>
      </w:r>
      <w:r w:rsidRPr="00F33937">
        <w:rPr>
          <w:rStyle w:val="FootnoteReference"/>
          <w:rFonts w:ascii="Times New Roman" w:hAnsi="Times New Roman" w:cs="Times New Roman"/>
          <w:sz w:val="24"/>
          <w:szCs w:val="24"/>
        </w:rPr>
        <w:footnoteReference w:id="122"/>
      </w:r>
      <w:r w:rsidRPr="00F33937">
        <w:rPr>
          <w:rFonts w:ascii="Times New Roman" w:hAnsi="Times New Roman" w:cs="Times New Roman"/>
          <w:sz w:val="24"/>
          <w:szCs w:val="24"/>
        </w:rPr>
        <w:t xml:space="preserve">  </w:t>
      </w:r>
      <w:r w:rsidR="00A7211C" w:rsidRPr="00F33937">
        <w:rPr>
          <w:rFonts w:ascii="Times New Roman" w:hAnsi="Times New Roman" w:cs="Times New Roman"/>
          <w:sz w:val="24"/>
          <w:szCs w:val="24"/>
        </w:rPr>
        <w:t>Due to this feature of ground-pen</w:t>
      </w:r>
      <w:r w:rsidR="006E093D" w:rsidRPr="00F33937">
        <w:rPr>
          <w:rFonts w:ascii="Times New Roman" w:hAnsi="Times New Roman" w:cs="Times New Roman"/>
          <w:sz w:val="24"/>
          <w:szCs w:val="24"/>
        </w:rPr>
        <w:t>etrating radar, the</w:t>
      </w:r>
      <w:r w:rsidR="00A7211C" w:rsidRPr="00F33937">
        <w:rPr>
          <w:rFonts w:ascii="Times New Roman" w:hAnsi="Times New Roman" w:cs="Times New Roman"/>
          <w:sz w:val="24"/>
          <w:szCs w:val="24"/>
        </w:rPr>
        <w:t xml:space="preserve"> surveillance sweep is likely to have mapped all residents and visitors in Paraio at or around the time of its bombing.  </w:t>
      </w:r>
      <w:r w:rsidR="006E093D" w:rsidRPr="00F33937">
        <w:rPr>
          <w:rFonts w:ascii="Times New Roman" w:hAnsi="Times New Roman" w:cs="Times New Roman"/>
          <w:sz w:val="24"/>
          <w:szCs w:val="24"/>
        </w:rPr>
        <w:t>In a</w:t>
      </w:r>
      <w:r w:rsidR="008425F7">
        <w:rPr>
          <w:rFonts w:ascii="Times New Roman" w:hAnsi="Times New Roman" w:cs="Times New Roman"/>
          <w:sz w:val="24"/>
          <w:szCs w:val="24"/>
        </w:rPr>
        <w:t>ddition to radar, the state</w:t>
      </w:r>
      <w:r w:rsidR="00F5473A">
        <w:rPr>
          <w:rFonts w:ascii="Times New Roman" w:hAnsi="Times New Roman" w:cs="Times New Roman"/>
          <w:sz w:val="24"/>
          <w:szCs w:val="24"/>
        </w:rPr>
        <w:t xml:space="preserve"> used drone surveillance in</w:t>
      </w:r>
      <w:r w:rsidR="006E093D" w:rsidRPr="00F33937">
        <w:rPr>
          <w:rFonts w:ascii="Times New Roman" w:hAnsi="Times New Roman" w:cs="Times New Roman"/>
          <w:sz w:val="24"/>
          <w:szCs w:val="24"/>
        </w:rPr>
        <w:t xml:space="preserve"> Paraio</w:t>
      </w:r>
      <w:r w:rsidR="00722DE9" w:rsidRPr="00F33937">
        <w:rPr>
          <w:rFonts w:ascii="Times New Roman" w:hAnsi="Times New Roman" w:cs="Times New Roman"/>
          <w:sz w:val="24"/>
          <w:szCs w:val="24"/>
        </w:rPr>
        <w:t xml:space="preserve">, </w:t>
      </w:r>
      <w:r w:rsidR="008649FB" w:rsidRPr="00F33937">
        <w:rPr>
          <w:rFonts w:ascii="Times New Roman" w:hAnsi="Times New Roman" w:cs="Times New Roman"/>
          <w:sz w:val="24"/>
          <w:szCs w:val="24"/>
        </w:rPr>
        <w:t xml:space="preserve">also </w:t>
      </w:r>
      <w:r w:rsidR="00722DE9" w:rsidRPr="00F33937">
        <w:rPr>
          <w:rFonts w:ascii="Times New Roman" w:hAnsi="Times New Roman" w:cs="Times New Roman"/>
          <w:sz w:val="24"/>
          <w:szCs w:val="24"/>
        </w:rPr>
        <w:t xml:space="preserve">with no evidence of </w:t>
      </w:r>
      <w:r w:rsidR="008649FB" w:rsidRPr="00F33937">
        <w:rPr>
          <w:rFonts w:ascii="Times New Roman" w:hAnsi="Times New Roman" w:cs="Times New Roman"/>
          <w:sz w:val="24"/>
          <w:szCs w:val="24"/>
        </w:rPr>
        <w:t xml:space="preserve">prior </w:t>
      </w:r>
      <w:r w:rsidR="00722DE9" w:rsidRPr="00F33937">
        <w:rPr>
          <w:rFonts w:ascii="Times New Roman" w:hAnsi="Times New Roman" w:cs="Times New Roman"/>
          <w:sz w:val="24"/>
          <w:szCs w:val="24"/>
        </w:rPr>
        <w:t>resident notification.</w:t>
      </w:r>
      <w:r w:rsidR="00722DE9" w:rsidRPr="00F33937">
        <w:rPr>
          <w:rStyle w:val="FootnoteReference"/>
          <w:rFonts w:ascii="Times New Roman" w:hAnsi="Times New Roman" w:cs="Times New Roman"/>
          <w:sz w:val="24"/>
          <w:szCs w:val="24"/>
        </w:rPr>
        <w:footnoteReference w:id="123"/>
      </w:r>
      <w:r w:rsidR="006C0B53" w:rsidRPr="00F33937">
        <w:rPr>
          <w:rFonts w:ascii="Times New Roman" w:hAnsi="Times New Roman" w:cs="Times New Roman"/>
          <w:sz w:val="24"/>
          <w:szCs w:val="24"/>
        </w:rPr>
        <w:t xml:space="preserve">  </w:t>
      </w:r>
      <w:r w:rsidR="00A2310F" w:rsidRPr="00F33937">
        <w:rPr>
          <w:rFonts w:ascii="Times New Roman" w:hAnsi="Times New Roman" w:cs="Times New Roman"/>
          <w:sz w:val="24"/>
          <w:szCs w:val="24"/>
        </w:rPr>
        <w:t>In the matter of the Families versus Charechia, n</w:t>
      </w:r>
      <w:r w:rsidR="00794BED" w:rsidRPr="00F33937">
        <w:rPr>
          <w:rFonts w:ascii="Times New Roman" w:hAnsi="Times New Roman" w:cs="Times New Roman"/>
          <w:sz w:val="24"/>
          <w:szCs w:val="24"/>
        </w:rPr>
        <w:t>either</w:t>
      </w:r>
      <w:r w:rsidR="006C0B53" w:rsidRPr="00F33937">
        <w:rPr>
          <w:rFonts w:ascii="Times New Roman" w:hAnsi="Times New Roman" w:cs="Times New Roman"/>
          <w:sz w:val="24"/>
          <w:szCs w:val="24"/>
        </w:rPr>
        <w:t xml:space="preserve"> evidence of warrant</w:t>
      </w:r>
      <w:r w:rsidR="00A2310F" w:rsidRPr="00F33937">
        <w:rPr>
          <w:rFonts w:ascii="Times New Roman" w:hAnsi="Times New Roman" w:cs="Times New Roman"/>
          <w:sz w:val="24"/>
          <w:szCs w:val="24"/>
        </w:rPr>
        <w:t>s for tapping nor for search has</w:t>
      </w:r>
      <w:r w:rsidR="006C0B53" w:rsidRPr="00F33937">
        <w:rPr>
          <w:rFonts w:ascii="Times New Roman" w:hAnsi="Times New Roman" w:cs="Times New Roman"/>
          <w:sz w:val="24"/>
          <w:szCs w:val="24"/>
        </w:rPr>
        <w:t xml:space="preserve"> been provided.</w:t>
      </w:r>
      <w:r w:rsidR="00722DE9" w:rsidRPr="00F33937">
        <w:rPr>
          <w:rFonts w:ascii="Times New Roman" w:hAnsi="Times New Roman" w:cs="Times New Roman"/>
          <w:sz w:val="24"/>
          <w:szCs w:val="24"/>
        </w:rPr>
        <w:t xml:space="preserve"> </w:t>
      </w:r>
    </w:p>
    <w:p w14:paraId="228C1BC6" w14:textId="557EBB13" w:rsidR="00F62B63" w:rsidRPr="00F33937" w:rsidRDefault="001439AF" w:rsidP="00A5779D">
      <w:pPr>
        <w:spacing w:after="0" w:line="480" w:lineRule="auto"/>
        <w:rPr>
          <w:rFonts w:ascii="Times New Roman" w:hAnsi="Times New Roman" w:cs="Times New Roman"/>
          <w:sz w:val="24"/>
          <w:szCs w:val="24"/>
        </w:rPr>
      </w:pPr>
      <w:r w:rsidRPr="00F33937">
        <w:rPr>
          <w:rFonts w:ascii="Times New Roman" w:hAnsi="Times New Roman" w:cs="Times New Roman"/>
          <w:sz w:val="24"/>
          <w:szCs w:val="24"/>
          <w:shd w:val="clear" w:color="auto" w:fill="FFFFFF"/>
        </w:rPr>
        <w:tab/>
      </w:r>
      <w:r w:rsidRPr="00F33937">
        <w:rPr>
          <w:rFonts w:ascii="Times New Roman" w:hAnsi="Times New Roman" w:cs="Times New Roman"/>
          <w:sz w:val="24"/>
          <w:szCs w:val="24"/>
        </w:rPr>
        <w:t>T</w:t>
      </w:r>
      <w:r w:rsidR="00954A88" w:rsidRPr="00F33937">
        <w:rPr>
          <w:rFonts w:ascii="Times New Roman" w:hAnsi="Times New Roman" w:cs="Times New Roman"/>
          <w:sz w:val="24"/>
          <w:szCs w:val="24"/>
        </w:rPr>
        <w:t xml:space="preserve">he </w:t>
      </w:r>
      <w:r w:rsidR="00983E8C" w:rsidRPr="00F33937">
        <w:rPr>
          <w:rFonts w:ascii="Times New Roman" w:hAnsi="Times New Roman" w:cs="Times New Roman"/>
          <w:sz w:val="24"/>
          <w:szCs w:val="24"/>
        </w:rPr>
        <w:t xml:space="preserve">Inter-American </w:t>
      </w:r>
      <w:r w:rsidR="00954A88" w:rsidRPr="00F33937">
        <w:rPr>
          <w:rFonts w:ascii="Times New Roman" w:hAnsi="Times New Roman" w:cs="Times New Roman"/>
          <w:sz w:val="24"/>
          <w:szCs w:val="24"/>
        </w:rPr>
        <w:t>Court has def</w:t>
      </w:r>
      <w:r w:rsidR="00D13AF3" w:rsidRPr="00F33937">
        <w:rPr>
          <w:rFonts w:ascii="Times New Roman" w:hAnsi="Times New Roman" w:cs="Times New Roman"/>
          <w:sz w:val="24"/>
          <w:szCs w:val="24"/>
        </w:rPr>
        <w:t>ined abusive interference</w:t>
      </w:r>
      <w:r w:rsidR="00062AC0" w:rsidRPr="00F33937">
        <w:rPr>
          <w:rFonts w:ascii="Times New Roman" w:hAnsi="Times New Roman" w:cs="Times New Roman"/>
          <w:sz w:val="24"/>
          <w:szCs w:val="24"/>
        </w:rPr>
        <w:t xml:space="preserve"> by the state</w:t>
      </w:r>
      <w:r w:rsidR="00763FB4" w:rsidRPr="00F33937">
        <w:rPr>
          <w:rFonts w:ascii="Times New Roman" w:hAnsi="Times New Roman" w:cs="Times New Roman"/>
          <w:sz w:val="24"/>
          <w:szCs w:val="24"/>
        </w:rPr>
        <w:t xml:space="preserve"> to include actions where </w:t>
      </w:r>
      <w:r w:rsidR="00D13AF3" w:rsidRPr="00F33937">
        <w:rPr>
          <w:rFonts w:ascii="Times New Roman" w:hAnsi="Times New Roman" w:cs="Times New Roman"/>
          <w:sz w:val="24"/>
          <w:szCs w:val="24"/>
        </w:rPr>
        <w:t>achieving security objectives</w:t>
      </w:r>
      <w:r w:rsidRPr="00F33937">
        <w:rPr>
          <w:rFonts w:ascii="Times New Roman" w:hAnsi="Times New Roman" w:cs="Times New Roman"/>
          <w:sz w:val="24"/>
          <w:szCs w:val="24"/>
        </w:rPr>
        <w:t xml:space="preserve"> is the government’s </w:t>
      </w:r>
      <w:r w:rsidR="00062AC0" w:rsidRPr="00F33937">
        <w:rPr>
          <w:rFonts w:ascii="Times New Roman" w:hAnsi="Times New Roman" w:cs="Times New Roman"/>
          <w:sz w:val="24"/>
          <w:szCs w:val="24"/>
        </w:rPr>
        <w:t xml:space="preserve">goal.  </w:t>
      </w:r>
      <w:r w:rsidR="00C22211" w:rsidRPr="00F33937">
        <w:rPr>
          <w:rFonts w:ascii="Times New Roman" w:hAnsi="Times New Roman" w:cs="Times New Roman"/>
          <w:sz w:val="24"/>
          <w:szCs w:val="24"/>
          <w:shd w:val="clear" w:color="auto" w:fill="FFFFFF"/>
        </w:rPr>
        <w:t xml:space="preserve">Similar to </w:t>
      </w:r>
      <w:r w:rsidR="00F700A5" w:rsidRPr="00F33937">
        <w:rPr>
          <w:rFonts w:ascii="Times New Roman" w:hAnsi="Times New Roman" w:cs="Times New Roman"/>
          <w:sz w:val="24"/>
          <w:szCs w:val="24"/>
          <w:shd w:val="clear" w:color="auto" w:fill="FFFFFF"/>
        </w:rPr>
        <w:t>Western C</w:t>
      </w:r>
      <w:r w:rsidRPr="00F33937">
        <w:rPr>
          <w:rFonts w:ascii="Times New Roman" w:hAnsi="Times New Roman" w:cs="Times New Roman"/>
          <w:sz w:val="24"/>
          <w:szCs w:val="24"/>
          <w:shd w:val="clear" w:color="auto" w:fill="FFFFFF"/>
        </w:rPr>
        <w:t xml:space="preserve">harechian residents, </w:t>
      </w:r>
      <w:r w:rsidR="00F700A5" w:rsidRPr="00F33937">
        <w:rPr>
          <w:rFonts w:ascii="Times New Roman" w:hAnsi="Times New Roman" w:cs="Times New Roman"/>
          <w:sz w:val="24"/>
          <w:szCs w:val="24"/>
          <w:shd w:val="clear" w:color="auto" w:fill="FFFFFF"/>
        </w:rPr>
        <w:t>i</w:t>
      </w:r>
      <w:r w:rsidR="00D55B52" w:rsidRPr="00F33937">
        <w:rPr>
          <w:rFonts w:ascii="Times New Roman" w:hAnsi="Times New Roman" w:cs="Times New Roman"/>
          <w:sz w:val="24"/>
          <w:szCs w:val="24"/>
          <w:shd w:val="clear" w:color="auto" w:fill="FFFFFF"/>
        </w:rPr>
        <w:t xml:space="preserve">n </w:t>
      </w:r>
      <w:r w:rsidR="00D55B52" w:rsidRPr="00F33937">
        <w:rPr>
          <w:rFonts w:ascii="Times New Roman" w:hAnsi="Times New Roman" w:cs="Times New Roman"/>
          <w:i/>
          <w:sz w:val="24"/>
          <w:szCs w:val="24"/>
          <w:shd w:val="clear" w:color="auto" w:fill="FFFFFF"/>
        </w:rPr>
        <w:t xml:space="preserve">Castillo Petruzzi </w:t>
      </w:r>
      <w:r w:rsidR="00D40A7B">
        <w:rPr>
          <w:rFonts w:ascii="Times New Roman" w:hAnsi="Times New Roman" w:cs="Times New Roman"/>
          <w:i/>
          <w:sz w:val="24"/>
          <w:szCs w:val="24"/>
          <w:shd w:val="clear" w:color="auto" w:fill="FFFFFF"/>
        </w:rPr>
        <w:t>et</w:t>
      </w:r>
      <w:r w:rsidR="004338EF" w:rsidRPr="00F33937">
        <w:rPr>
          <w:rFonts w:ascii="Times New Roman" w:hAnsi="Times New Roman" w:cs="Times New Roman"/>
          <w:i/>
          <w:sz w:val="24"/>
          <w:szCs w:val="24"/>
          <w:shd w:val="clear" w:color="auto" w:fill="FFFFFF"/>
        </w:rPr>
        <w:t xml:space="preserve"> al </w:t>
      </w:r>
      <w:r w:rsidR="00D55B52" w:rsidRPr="00F33937">
        <w:rPr>
          <w:rFonts w:ascii="Times New Roman" w:hAnsi="Times New Roman" w:cs="Times New Roman"/>
          <w:i/>
          <w:sz w:val="24"/>
          <w:szCs w:val="24"/>
          <w:shd w:val="clear" w:color="auto" w:fill="FFFFFF"/>
        </w:rPr>
        <w:t>v. Peru</w:t>
      </w:r>
      <w:r w:rsidR="00D55B52" w:rsidRPr="00F33937">
        <w:rPr>
          <w:rFonts w:ascii="Times New Roman" w:hAnsi="Times New Roman" w:cs="Times New Roman"/>
          <w:sz w:val="24"/>
          <w:szCs w:val="24"/>
          <w:shd w:val="clear" w:color="auto" w:fill="FFFFFF"/>
        </w:rPr>
        <w:t xml:space="preserve"> (1999)</w:t>
      </w:r>
      <w:r w:rsidR="00F700A5" w:rsidRPr="00F33937">
        <w:rPr>
          <w:rFonts w:ascii="Times New Roman" w:hAnsi="Times New Roman" w:cs="Times New Roman"/>
          <w:sz w:val="24"/>
          <w:szCs w:val="24"/>
          <w:shd w:val="clear" w:color="auto" w:fill="FFFFFF"/>
        </w:rPr>
        <w:t xml:space="preserve"> </w:t>
      </w:r>
      <w:r w:rsidR="004338EF" w:rsidRPr="00F33937">
        <w:rPr>
          <w:rFonts w:ascii="Times New Roman" w:hAnsi="Times New Roman" w:cs="Times New Roman"/>
          <w:sz w:val="24"/>
          <w:szCs w:val="24"/>
        </w:rPr>
        <w:t>a Chilean businessman and others associated with the Tupác Amaru R</w:t>
      </w:r>
      <w:r w:rsidRPr="00F33937">
        <w:rPr>
          <w:rFonts w:ascii="Times New Roman" w:hAnsi="Times New Roman" w:cs="Times New Roman"/>
          <w:sz w:val="24"/>
          <w:szCs w:val="24"/>
        </w:rPr>
        <w:t>evo</w:t>
      </w:r>
      <w:r w:rsidR="004338EF" w:rsidRPr="00F33937">
        <w:rPr>
          <w:rFonts w:ascii="Times New Roman" w:hAnsi="Times New Roman" w:cs="Times New Roman"/>
          <w:sz w:val="24"/>
          <w:szCs w:val="24"/>
        </w:rPr>
        <w:t xml:space="preserve">lutionary Movement </w:t>
      </w:r>
      <w:r w:rsidR="003543C0" w:rsidRPr="00F33937">
        <w:rPr>
          <w:rFonts w:ascii="Times New Roman" w:hAnsi="Times New Roman" w:cs="Times New Roman"/>
          <w:sz w:val="24"/>
          <w:szCs w:val="24"/>
        </w:rPr>
        <w:t>were</w:t>
      </w:r>
      <w:r w:rsidR="00336FD7" w:rsidRPr="00F33937">
        <w:rPr>
          <w:rFonts w:ascii="Times New Roman" w:hAnsi="Times New Roman" w:cs="Times New Roman"/>
          <w:sz w:val="24"/>
          <w:szCs w:val="24"/>
        </w:rPr>
        <w:t xml:space="preserve"> surveilled</w:t>
      </w:r>
      <w:r w:rsidR="00BF08F0" w:rsidRPr="00F33937">
        <w:rPr>
          <w:rFonts w:ascii="Times New Roman" w:hAnsi="Times New Roman" w:cs="Times New Roman"/>
          <w:sz w:val="24"/>
          <w:szCs w:val="24"/>
        </w:rPr>
        <w:t xml:space="preserve"> </w:t>
      </w:r>
      <w:r w:rsidR="00551483" w:rsidRPr="00F33937">
        <w:rPr>
          <w:rFonts w:ascii="Times New Roman" w:hAnsi="Times New Roman" w:cs="Times New Roman"/>
          <w:sz w:val="24"/>
          <w:szCs w:val="24"/>
        </w:rPr>
        <w:t xml:space="preserve">by the state </w:t>
      </w:r>
      <w:r w:rsidR="004338EF" w:rsidRPr="00F33937">
        <w:rPr>
          <w:rFonts w:ascii="Times New Roman" w:hAnsi="Times New Roman" w:cs="Times New Roman"/>
          <w:sz w:val="24"/>
          <w:szCs w:val="24"/>
        </w:rPr>
        <w:t xml:space="preserve">without </w:t>
      </w:r>
      <w:r w:rsidR="003543C0" w:rsidRPr="00F33937">
        <w:rPr>
          <w:rFonts w:ascii="Times New Roman" w:hAnsi="Times New Roman" w:cs="Times New Roman"/>
          <w:sz w:val="24"/>
          <w:szCs w:val="24"/>
        </w:rPr>
        <w:t xml:space="preserve">legal </w:t>
      </w:r>
      <w:r w:rsidR="004338EF" w:rsidRPr="00F33937">
        <w:rPr>
          <w:rFonts w:ascii="Times New Roman" w:hAnsi="Times New Roman" w:cs="Times New Roman"/>
          <w:sz w:val="24"/>
          <w:szCs w:val="24"/>
        </w:rPr>
        <w:t>notice</w:t>
      </w:r>
      <w:r w:rsidR="00BE140A" w:rsidRPr="00F33937">
        <w:rPr>
          <w:rFonts w:ascii="Times New Roman" w:hAnsi="Times New Roman" w:cs="Times New Roman"/>
          <w:sz w:val="24"/>
          <w:szCs w:val="24"/>
        </w:rPr>
        <w:t xml:space="preserve"> and in blanket fashion</w:t>
      </w:r>
      <w:r w:rsidR="00763FB4" w:rsidRPr="00F33937">
        <w:rPr>
          <w:rFonts w:ascii="Times New Roman" w:hAnsi="Times New Roman" w:cs="Times New Roman"/>
          <w:sz w:val="24"/>
          <w:szCs w:val="24"/>
        </w:rPr>
        <w:t>,</w:t>
      </w:r>
      <w:r w:rsidR="00A70772" w:rsidRPr="00F33937">
        <w:rPr>
          <w:rStyle w:val="FootnoteReference"/>
          <w:rFonts w:ascii="Times New Roman" w:hAnsi="Times New Roman" w:cs="Times New Roman"/>
          <w:sz w:val="24"/>
          <w:szCs w:val="24"/>
        </w:rPr>
        <w:footnoteReference w:id="124"/>
      </w:r>
      <w:r w:rsidR="00763FB4" w:rsidRPr="00F33937">
        <w:rPr>
          <w:rFonts w:ascii="Times New Roman" w:hAnsi="Times New Roman" w:cs="Times New Roman"/>
          <w:sz w:val="24"/>
          <w:szCs w:val="24"/>
        </w:rPr>
        <w:t xml:space="preserve"> </w:t>
      </w:r>
      <w:r w:rsidR="00306920" w:rsidRPr="00F33937">
        <w:rPr>
          <w:rFonts w:ascii="Times New Roman" w:hAnsi="Times New Roman" w:cs="Times New Roman"/>
          <w:sz w:val="24"/>
          <w:szCs w:val="24"/>
        </w:rPr>
        <w:t>the scale of surveillance</w:t>
      </w:r>
      <w:r w:rsidR="002030E2" w:rsidRPr="00F33937">
        <w:rPr>
          <w:rFonts w:ascii="Times New Roman" w:hAnsi="Times New Roman" w:cs="Times New Roman"/>
          <w:sz w:val="24"/>
          <w:szCs w:val="24"/>
        </w:rPr>
        <w:t xml:space="preserve"> here</w:t>
      </w:r>
      <w:r w:rsidR="00306920" w:rsidRPr="00F33937">
        <w:rPr>
          <w:rFonts w:ascii="Times New Roman" w:hAnsi="Times New Roman" w:cs="Times New Roman"/>
          <w:sz w:val="24"/>
          <w:szCs w:val="24"/>
        </w:rPr>
        <w:t xml:space="preserve"> being characterized </w:t>
      </w:r>
      <w:r w:rsidR="002030E2" w:rsidRPr="00F33937">
        <w:rPr>
          <w:rFonts w:ascii="Times New Roman" w:hAnsi="Times New Roman" w:cs="Times New Roman"/>
          <w:sz w:val="24"/>
          <w:szCs w:val="24"/>
        </w:rPr>
        <w:t>by Inter-American</w:t>
      </w:r>
      <w:r w:rsidR="009F706D" w:rsidRPr="00F33937">
        <w:rPr>
          <w:rFonts w:ascii="Times New Roman" w:hAnsi="Times New Roman" w:cs="Times New Roman"/>
          <w:sz w:val="24"/>
          <w:szCs w:val="24"/>
        </w:rPr>
        <w:t xml:space="preserve"> </w:t>
      </w:r>
      <w:r w:rsidR="00763FB4" w:rsidRPr="00F33937">
        <w:rPr>
          <w:rFonts w:ascii="Times New Roman" w:hAnsi="Times New Roman" w:cs="Times New Roman"/>
          <w:sz w:val="24"/>
          <w:szCs w:val="24"/>
        </w:rPr>
        <w:t>policy</w:t>
      </w:r>
      <w:r w:rsidR="002030E2" w:rsidRPr="00F33937">
        <w:rPr>
          <w:rFonts w:ascii="Times New Roman" w:hAnsi="Times New Roman" w:cs="Times New Roman"/>
          <w:sz w:val="24"/>
          <w:szCs w:val="24"/>
        </w:rPr>
        <w:t xml:space="preserve"> as state “unbridled power.”</w:t>
      </w:r>
      <w:r w:rsidR="00557049" w:rsidRPr="00F33937">
        <w:rPr>
          <w:rStyle w:val="FootnoteReference"/>
          <w:rFonts w:ascii="Times New Roman" w:hAnsi="Times New Roman" w:cs="Times New Roman"/>
          <w:sz w:val="24"/>
          <w:szCs w:val="24"/>
        </w:rPr>
        <w:footnoteReference w:id="125"/>
      </w:r>
      <w:r w:rsidR="004338EF" w:rsidRPr="00F33937">
        <w:rPr>
          <w:rFonts w:ascii="Times New Roman" w:hAnsi="Times New Roman" w:cs="Times New Roman"/>
          <w:sz w:val="24"/>
          <w:szCs w:val="24"/>
        </w:rPr>
        <w:t xml:space="preserve"> </w:t>
      </w:r>
      <w:r w:rsidR="00896636" w:rsidRPr="00F33937">
        <w:rPr>
          <w:rFonts w:ascii="Times New Roman" w:hAnsi="Times New Roman" w:cs="Times New Roman"/>
          <w:sz w:val="24"/>
          <w:szCs w:val="24"/>
        </w:rPr>
        <w:t xml:space="preserve"> </w:t>
      </w:r>
      <w:r w:rsidR="00763FB4" w:rsidRPr="00F33937">
        <w:rPr>
          <w:rFonts w:ascii="Times New Roman" w:hAnsi="Times New Roman" w:cs="Times New Roman"/>
          <w:sz w:val="24"/>
          <w:szCs w:val="24"/>
        </w:rPr>
        <w:t xml:space="preserve">In like fashion to Peru’s invasion of Castillo Petruzzi’s </w:t>
      </w:r>
      <w:r w:rsidR="00763FB4" w:rsidRPr="00F33937">
        <w:rPr>
          <w:rFonts w:ascii="Times New Roman" w:hAnsi="Times New Roman" w:cs="Times New Roman"/>
          <w:sz w:val="24"/>
          <w:szCs w:val="24"/>
        </w:rPr>
        <w:lastRenderedPageBreak/>
        <w:t>privacy</w:t>
      </w:r>
      <w:r w:rsidR="002030E2" w:rsidRPr="00F33937">
        <w:rPr>
          <w:rFonts w:ascii="Times New Roman" w:hAnsi="Times New Roman" w:cs="Times New Roman"/>
          <w:sz w:val="24"/>
          <w:szCs w:val="24"/>
        </w:rPr>
        <w:t>, i</w:t>
      </w:r>
      <w:r w:rsidR="00BE140A" w:rsidRPr="00F33937">
        <w:rPr>
          <w:rFonts w:ascii="Times New Roman" w:hAnsi="Times New Roman" w:cs="Times New Roman"/>
          <w:sz w:val="24"/>
          <w:szCs w:val="24"/>
        </w:rPr>
        <w:t>n “ferr</w:t>
      </w:r>
      <w:r w:rsidRPr="00F33937">
        <w:rPr>
          <w:rFonts w:ascii="Times New Roman" w:hAnsi="Times New Roman" w:cs="Times New Roman"/>
          <w:sz w:val="24"/>
          <w:szCs w:val="24"/>
        </w:rPr>
        <w:t>eting out dens of resistance</w:t>
      </w:r>
      <w:r w:rsidR="00BE140A" w:rsidRPr="00F33937">
        <w:rPr>
          <w:rFonts w:ascii="Times New Roman" w:hAnsi="Times New Roman" w:cs="Times New Roman"/>
          <w:sz w:val="24"/>
          <w:szCs w:val="24"/>
        </w:rPr>
        <w:t>”</w:t>
      </w:r>
      <w:r w:rsidR="00BE140A" w:rsidRPr="00F33937">
        <w:rPr>
          <w:rStyle w:val="FootnoteReference"/>
          <w:rFonts w:ascii="Times New Roman" w:hAnsi="Times New Roman" w:cs="Times New Roman"/>
          <w:sz w:val="24"/>
          <w:szCs w:val="24"/>
        </w:rPr>
        <w:footnoteReference w:id="126"/>
      </w:r>
      <w:r w:rsidRPr="00F33937">
        <w:rPr>
          <w:rFonts w:ascii="Times New Roman" w:hAnsi="Times New Roman" w:cs="Times New Roman"/>
          <w:sz w:val="24"/>
          <w:szCs w:val="24"/>
        </w:rPr>
        <w:t xml:space="preserve"> with these surveillance methods,</w:t>
      </w:r>
      <w:r w:rsidR="00AB1838" w:rsidRPr="00F33937">
        <w:rPr>
          <w:rFonts w:ascii="Times New Roman" w:hAnsi="Times New Roman" w:cs="Times New Roman"/>
          <w:sz w:val="24"/>
          <w:szCs w:val="24"/>
        </w:rPr>
        <w:t xml:space="preserve"> the State </w:t>
      </w:r>
      <w:r w:rsidR="00763FB4" w:rsidRPr="00F33937">
        <w:rPr>
          <w:rFonts w:ascii="Times New Roman" w:hAnsi="Times New Roman" w:cs="Times New Roman"/>
          <w:sz w:val="24"/>
          <w:szCs w:val="24"/>
        </w:rPr>
        <w:t>violated the Families</w:t>
      </w:r>
      <w:r w:rsidR="00A03F8F" w:rsidRPr="00F33937">
        <w:rPr>
          <w:rFonts w:ascii="Times New Roman" w:hAnsi="Times New Roman" w:cs="Times New Roman"/>
          <w:sz w:val="24"/>
          <w:szCs w:val="24"/>
        </w:rPr>
        <w:t>’</w:t>
      </w:r>
      <w:r w:rsidRPr="00F33937">
        <w:rPr>
          <w:rFonts w:ascii="Times New Roman" w:hAnsi="Times New Roman" w:cs="Times New Roman"/>
          <w:sz w:val="24"/>
          <w:szCs w:val="24"/>
        </w:rPr>
        <w:t xml:space="preserve"> right to privacy</w:t>
      </w:r>
      <w:r w:rsidR="00A03F8F" w:rsidRPr="00F33937">
        <w:rPr>
          <w:rFonts w:ascii="Times New Roman" w:hAnsi="Times New Roman" w:cs="Times New Roman"/>
          <w:sz w:val="24"/>
          <w:szCs w:val="24"/>
        </w:rPr>
        <w:t xml:space="preserve"> by subjecting their home village to</w:t>
      </w:r>
      <w:r w:rsidR="00E65CF6" w:rsidRPr="00F33937">
        <w:rPr>
          <w:rFonts w:ascii="Times New Roman" w:hAnsi="Times New Roman" w:cs="Times New Roman"/>
          <w:sz w:val="24"/>
          <w:szCs w:val="24"/>
        </w:rPr>
        <w:t xml:space="preserve"> indiscriminate form</w:t>
      </w:r>
      <w:r w:rsidR="002030E2" w:rsidRPr="00F33937">
        <w:rPr>
          <w:rFonts w:ascii="Times New Roman" w:hAnsi="Times New Roman" w:cs="Times New Roman"/>
          <w:sz w:val="24"/>
          <w:szCs w:val="24"/>
        </w:rPr>
        <w:t>s</w:t>
      </w:r>
      <w:r w:rsidR="00E117F4" w:rsidRPr="00F33937">
        <w:rPr>
          <w:rFonts w:ascii="Times New Roman" w:hAnsi="Times New Roman" w:cs="Times New Roman"/>
          <w:sz w:val="24"/>
          <w:szCs w:val="24"/>
        </w:rPr>
        <w:t xml:space="preserve"> of privacy invasion</w:t>
      </w:r>
      <w:r w:rsidR="00D32615" w:rsidRPr="00F33937">
        <w:rPr>
          <w:rFonts w:ascii="Times New Roman" w:hAnsi="Times New Roman" w:cs="Times New Roman"/>
          <w:sz w:val="24"/>
          <w:szCs w:val="24"/>
        </w:rPr>
        <w:t xml:space="preserve">:  </w:t>
      </w:r>
      <w:r w:rsidR="00E65CF6" w:rsidRPr="00F33937">
        <w:rPr>
          <w:rFonts w:ascii="Times New Roman" w:hAnsi="Times New Roman" w:cs="Times New Roman"/>
          <w:sz w:val="24"/>
          <w:szCs w:val="24"/>
        </w:rPr>
        <w:t>ground-penetrating radar and drone surveillance.</w:t>
      </w:r>
      <w:r w:rsidR="00E65CF6" w:rsidRPr="00F33937">
        <w:rPr>
          <w:rStyle w:val="FootnoteReference"/>
          <w:rFonts w:ascii="Times New Roman" w:hAnsi="Times New Roman" w:cs="Times New Roman"/>
          <w:sz w:val="24"/>
          <w:szCs w:val="24"/>
        </w:rPr>
        <w:footnoteReference w:id="127"/>
      </w:r>
      <w:r w:rsidR="00AB1838" w:rsidRPr="00F33937">
        <w:rPr>
          <w:rFonts w:ascii="Times New Roman" w:hAnsi="Times New Roman" w:cs="Times New Roman"/>
          <w:sz w:val="24"/>
          <w:szCs w:val="24"/>
        </w:rPr>
        <w:t xml:space="preserve">  </w:t>
      </w:r>
    </w:p>
    <w:p w14:paraId="33A59E56" w14:textId="7605497A" w:rsidR="007172BA" w:rsidRPr="00F33937" w:rsidRDefault="00F62B63" w:rsidP="00A5779D">
      <w:pPr>
        <w:spacing w:after="0" w:line="480" w:lineRule="auto"/>
        <w:rPr>
          <w:rFonts w:ascii="Times New Roman" w:hAnsi="Times New Roman" w:cs="Times New Roman"/>
          <w:sz w:val="24"/>
          <w:szCs w:val="24"/>
          <w:shd w:val="clear" w:color="auto" w:fill="FFFFFF"/>
        </w:rPr>
      </w:pPr>
      <w:r w:rsidRPr="00F33937">
        <w:rPr>
          <w:rFonts w:ascii="Times New Roman" w:hAnsi="Times New Roman" w:cs="Times New Roman"/>
          <w:sz w:val="24"/>
          <w:szCs w:val="24"/>
        </w:rPr>
        <w:tab/>
      </w:r>
      <w:r w:rsidR="00763FB4" w:rsidRPr="00F33937">
        <w:rPr>
          <w:rFonts w:ascii="Times New Roman" w:hAnsi="Times New Roman" w:cs="Times New Roman"/>
          <w:sz w:val="24"/>
          <w:szCs w:val="24"/>
        </w:rPr>
        <w:t>Despite its reconnaissance proving great rebel enmeshment with Paraio’s non-combatant civilian population, the Sta</w:t>
      </w:r>
      <w:r w:rsidRPr="00F33937">
        <w:rPr>
          <w:rFonts w:ascii="Times New Roman" w:hAnsi="Times New Roman" w:cs="Times New Roman"/>
          <w:sz w:val="24"/>
          <w:szCs w:val="24"/>
        </w:rPr>
        <w:t xml:space="preserve">te—in </w:t>
      </w:r>
      <w:r w:rsidR="00CA4CF1" w:rsidRPr="00F33937">
        <w:rPr>
          <w:rFonts w:ascii="Times New Roman" w:hAnsi="Times New Roman" w:cs="Times New Roman"/>
          <w:sz w:val="24"/>
          <w:szCs w:val="24"/>
        </w:rPr>
        <w:t xml:space="preserve">surveilling globally and without notice the </w:t>
      </w:r>
      <w:r w:rsidRPr="00F33937">
        <w:rPr>
          <w:rFonts w:ascii="Times New Roman" w:hAnsi="Times New Roman" w:cs="Times New Roman"/>
          <w:sz w:val="24"/>
          <w:szCs w:val="24"/>
        </w:rPr>
        <w:t xml:space="preserve">mestizojos village—disregarded </w:t>
      </w:r>
      <w:r w:rsidR="00763FB4" w:rsidRPr="00F33937">
        <w:rPr>
          <w:rFonts w:ascii="Times New Roman" w:hAnsi="Times New Roman" w:cs="Times New Roman"/>
          <w:sz w:val="24"/>
          <w:szCs w:val="24"/>
        </w:rPr>
        <w:t>Petitioners’ right to a home free from abusive interference.</w:t>
      </w:r>
      <w:r w:rsidR="00763FB4" w:rsidRPr="00F33937">
        <w:rPr>
          <w:rStyle w:val="FootnoteReference"/>
          <w:rFonts w:ascii="Times New Roman" w:hAnsi="Times New Roman" w:cs="Times New Roman"/>
          <w:sz w:val="24"/>
          <w:szCs w:val="24"/>
        </w:rPr>
        <w:footnoteReference w:id="128"/>
      </w:r>
      <w:r w:rsidR="00763FB4" w:rsidRPr="00F33937">
        <w:rPr>
          <w:rFonts w:ascii="Times New Roman" w:hAnsi="Times New Roman" w:cs="Times New Roman"/>
          <w:sz w:val="24"/>
          <w:szCs w:val="24"/>
        </w:rPr>
        <w:t xml:space="preserve">  </w:t>
      </w:r>
      <w:r w:rsidR="006C2BE8" w:rsidRPr="00F33937">
        <w:rPr>
          <w:rFonts w:ascii="Times New Roman" w:hAnsi="Times New Roman" w:cs="Times New Roman"/>
          <w:sz w:val="24"/>
          <w:szCs w:val="24"/>
        </w:rPr>
        <w:t>According to international norms the Families had a reasonable expectation of privacy,</w:t>
      </w:r>
      <w:r w:rsidR="003839A9" w:rsidRPr="00F33937">
        <w:rPr>
          <w:rStyle w:val="FootnoteReference"/>
          <w:rFonts w:ascii="Times New Roman" w:hAnsi="Times New Roman" w:cs="Times New Roman"/>
          <w:sz w:val="24"/>
          <w:szCs w:val="24"/>
        </w:rPr>
        <w:footnoteReference w:id="129"/>
      </w:r>
      <w:r w:rsidR="006C2BE8" w:rsidRPr="00F33937">
        <w:rPr>
          <w:rFonts w:ascii="Times New Roman" w:hAnsi="Times New Roman" w:cs="Times New Roman"/>
          <w:sz w:val="24"/>
          <w:szCs w:val="24"/>
        </w:rPr>
        <w:t xml:space="preserve"> t</w:t>
      </w:r>
      <w:r w:rsidR="00194241" w:rsidRPr="00F33937">
        <w:rPr>
          <w:rFonts w:ascii="Times New Roman" w:hAnsi="Times New Roman" w:cs="Times New Roman"/>
          <w:sz w:val="24"/>
          <w:szCs w:val="24"/>
        </w:rPr>
        <w:t>he</w:t>
      </w:r>
      <w:r w:rsidR="001439AF" w:rsidRPr="00F33937">
        <w:rPr>
          <w:rFonts w:ascii="Times New Roman" w:hAnsi="Times New Roman" w:cs="Times New Roman"/>
          <w:sz w:val="24"/>
          <w:szCs w:val="24"/>
        </w:rPr>
        <w:t>refore, the</w:t>
      </w:r>
      <w:r w:rsidR="005A5994" w:rsidRPr="00F33937">
        <w:rPr>
          <w:rFonts w:ascii="Times New Roman" w:hAnsi="Times New Roman" w:cs="Times New Roman"/>
          <w:sz w:val="24"/>
          <w:szCs w:val="24"/>
        </w:rPr>
        <w:t xml:space="preserve"> State’s</w:t>
      </w:r>
      <w:r w:rsidR="00A04A8C" w:rsidRPr="00F33937">
        <w:rPr>
          <w:rFonts w:ascii="Times New Roman" w:hAnsi="Times New Roman" w:cs="Times New Roman"/>
          <w:sz w:val="24"/>
          <w:szCs w:val="24"/>
        </w:rPr>
        <w:t xml:space="preserve"> </w:t>
      </w:r>
      <w:r w:rsidR="005A5994" w:rsidRPr="00F33937">
        <w:rPr>
          <w:rFonts w:ascii="Times New Roman" w:hAnsi="Times New Roman" w:cs="Times New Roman"/>
          <w:sz w:val="24"/>
          <w:szCs w:val="24"/>
        </w:rPr>
        <w:t xml:space="preserve">indiscriminate </w:t>
      </w:r>
      <w:r w:rsidR="00194241" w:rsidRPr="00F33937">
        <w:rPr>
          <w:rFonts w:ascii="Times New Roman" w:hAnsi="Times New Roman" w:cs="Times New Roman"/>
          <w:sz w:val="24"/>
          <w:szCs w:val="24"/>
        </w:rPr>
        <w:t xml:space="preserve">and undisclosed </w:t>
      </w:r>
      <w:r w:rsidR="005A5994" w:rsidRPr="00F33937">
        <w:rPr>
          <w:rFonts w:ascii="Times New Roman" w:hAnsi="Times New Roman" w:cs="Times New Roman"/>
          <w:sz w:val="24"/>
          <w:szCs w:val="24"/>
        </w:rPr>
        <w:t xml:space="preserve">surveillance of Petitioners’ home constitutes </w:t>
      </w:r>
      <w:r w:rsidR="00194241" w:rsidRPr="00F33937">
        <w:rPr>
          <w:rFonts w:ascii="Times New Roman" w:hAnsi="Times New Roman" w:cs="Times New Roman"/>
          <w:sz w:val="24"/>
          <w:szCs w:val="24"/>
        </w:rPr>
        <w:t>violation of the ACHR’s Article 11 Right to Privacy.</w:t>
      </w:r>
    </w:p>
    <w:p w14:paraId="451C9417" w14:textId="77777777" w:rsidR="00A5779D" w:rsidRPr="00F33937" w:rsidRDefault="00A5779D" w:rsidP="00A5779D">
      <w:pPr>
        <w:spacing w:after="0" w:line="480" w:lineRule="auto"/>
        <w:rPr>
          <w:rFonts w:ascii="Times New Roman" w:hAnsi="Times New Roman" w:cs="Times New Roman"/>
          <w:sz w:val="24"/>
          <w:szCs w:val="24"/>
          <w:shd w:val="clear" w:color="auto" w:fill="FFFFFF"/>
        </w:rPr>
      </w:pPr>
    </w:p>
    <w:p w14:paraId="2F523015" w14:textId="3C59185D" w:rsidR="00782653" w:rsidRPr="00F33937" w:rsidRDefault="00AF6C89" w:rsidP="00782653">
      <w:pPr>
        <w:spacing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3</w:t>
      </w:r>
      <w:r w:rsidR="00A313EF" w:rsidRPr="00F33937">
        <w:rPr>
          <w:rFonts w:ascii="Times New Roman" w:hAnsi="Times New Roman" w:cs="Times New Roman"/>
          <w:b/>
          <w:i/>
          <w:sz w:val="24"/>
          <w:szCs w:val="24"/>
        </w:rPr>
        <w:t>.5</w:t>
      </w:r>
      <w:r w:rsidR="00782653" w:rsidRPr="00F33937">
        <w:rPr>
          <w:rFonts w:ascii="Times New Roman" w:hAnsi="Times New Roman" w:cs="Times New Roman"/>
          <w:b/>
          <w:i/>
          <w:sz w:val="24"/>
          <w:szCs w:val="24"/>
        </w:rPr>
        <w:t xml:space="preserve"> – FREEDOM OF THOUGHT AND EXPRESSION</w:t>
      </w:r>
    </w:p>
    <w:p w14:paraId="2148F677" w14:textId="6D970935" w:rsidR="00F35999" w:rsidRPr="00F33937" w:rsidRDefault="00CB08D1" w:rsidP="00782653">
      <w:pPr>
        <w:spacing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S</w:t>
      </w:r>
      <w:r w:rsidR="009F4073" w:rsidRPr="00F33937">
        <w:rPr>
          <w:rFonts w:ascii="Times New Roman" w:hAnsi="Times New Roman" w:cs="Times New Roman"/>
          <w:b/>
          <w:i/>
          <w:sz w:val="24"/>
          <w:szCs w:val="24"/>
        </w:rPr>
        <w:t xml:space="preserve">tate </w:t>
      </w:r>
      <w:r w:rsidR="00620843" w:rsidRPr="00F33937">
        <w:rPr>
          <w:rFonts w:ascii="Times New Roman" w:hAnsi="Times New Roman" w:cs="Times New Roman"/>
          <w:b/>
          <w:i/>
          <w:sz w:val="24"/>
          <w:szCs w:val="24"/>
        </w:rPr>
        <w:t xml:space="preserve">War Propaganda </w:t>
      </w:r>
      <w:r w:rsidR="00772390" w:rsidRPr="00F33937">
        <w:rPr>
          <w:rFonts w:ascii="Times New Roman" w:hAnsi="Times New Roman" w:cs="Times New Roman"/>
          <w:b/>
          <w:i/>
          <w:sz w:val="24"/>
          <w:szCs w:val="24"/>
        </w:rPr>
        <w:t>Targeted</w:t>
      </w:r>
      <w:r w:rsidR="000D3ED7" w:rsidRPr="00F33937">
        <w:rPr>
          <w:rFonts w:ascii="Times New Roman" w:hAnsi="Times New Roman" w:cs="Times New Roman"/>
          <w:b/>
          <w:i/>
          <w:sz w:val="24"/>
          <w:szCs w:val="24"/>
        </w:rPr>
        <w:t xml:space="preserve"> Enmeshed </w:t>
      </w:r>
      <w:r w:rsidR="009F4073" w:rsidRPr="00F33937">
        <w:rPr>
          <w:rFonts w:ascii="Times New Roman" w:hAnsi="Times New Roman" w:cs="Times New Roman"/>
          <w:b/>
          <w:i/>
          <w:sz w:val="24"/>
          <w:szCs w:val="24"/>
        </w:rPr>
        <w:t xml:space="preserve">Residents </w:t>
      </w:r>
    </w:p>
    <w:p w14:paraId="598D2C38" w14:textId="4057BC66" w:rsidR="004438F6" w:rsidRPr="00F33937" w:rsidRDefault="002F63D2" w:rsidP="004438F6">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4438F6" w:rsidRPr="00F33937">
        <w:rPr>
          <w:rFonts w:ascii="Times New Roman" w:hAnsi="Times New Roman" w:cs="Times New Roman"/>
          <w:sz w:val="24"/>
          <w:szCs w:val="24"/>
        </w:rPr>
        <w:t>Article 13 of the American Convention on Human Rights states, “Any propaganda for war and any advocacy of national, racial, or religious hatred that constitute incitements to lawless violence or to any other similar action against any person or group of persons on any grounds including those of race, color, religion, language, or national origin shall be considered as offenses punishable by law.”</w:t>
      </w:r>
      <w:r w:rsidR="004438F6" w:rsidRPr="00F33937">
        <w:rPr>
          <w:rStyle w:val="FootnoteReference"/>
          <w:rFonts w:ascii="Times New Roman" w:hAnsi="Times New Roman" w:cs="Times New Roman"/>
          <w:sz w:val="24"/>
          <w:szCs w:val="24"/>
        </w:rPr>
        <w:footnoteReference w:id="130"/>
      </w:r>
      <w:r w:rsidR="004438F6" w:rsidRPr="00F33937">
        <w:rPr>
          <w:rFonts w:ascii="Times New Roman" w:hAnsi="Times New Roman" w:cs="Times New Roman"/>
          <w:sz w:val="24"/>
          <w:szCs w:val="24"/>
        </w:rPr>
        <w:t xml:space="preserve">  With Charechia’s Executive inciting to violence the military that is officially employed to protect its citizens</w:t>
      </w:r>
      <w:r w:rsidR="008A67DD" w:rsidRPr="00F33937">
        <w:rPr>
          <w:rFonts w:ascii="Times New Roman" w:hAnsi="Times New Roman" w:cs="Times New Roman"/>
          <w:sz w:val="24"/>
          <w:szCs w:val="24"/>
        </w:rPr>
        <w:t xml:space="preserve"> in every region</w:t>
      </w:r>
      <w:r w:rsidR="004438F6" w:rsidRPr="00F33937">
        <w:rPr>
          <w:rFonts w:ascii="Times New Roman" w:hAnsi="Times New Roman" w:cs="Times New Roman"/>
          <w:sz w:val="24"/>
          <w:szCs w:val="24"/>
        </w:rPr>
        <w:t>, the State violated Petitioners’ Article 13 rights.</w:t>
      </w:r>
      <w:r w:rsidR="00B3543C" w:rsidRPr="00F33937">
        <w:rPr>
          <w:rStyle w:val="FootnoteReference"/>
          <w:rFonts w:ascii="Times New Roman" w:hAnsi="Times New Roman" w:cs="Times New Roman"/>
          <w:sz w:val="24"/>
          <w:szCs w:val="24"/>
        </w:rPr>
        <w:footnoteReference w:id="131"/>
      </w:r>
    </w:p>
    <w:p w14:paraId="079ECAB8" w14:textId="29780839" w:rsidR="00B3543C" w:rsidRPr="00F33937" w:rsidRDefault="004438F6" w:rsidP="00B3543C">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lastRenderedPageBreak/>
        <w:tab/>
      </w:r>
      <w:r w:rsidR="00E578DD" w:rsidRPr="00F33937">
        <w:rPr>
          <w:rFonts w:ascii="Times New Roman" w:hAnsi="Times New Roman" w:cs="Times New Roman"/>
          <w:sz w:val="24"/>
          <w:szCs w:val="24"/>
        </w:rPr>
        <w:t xml:space="preserve">Paraio </w:t>
      </w:r>
      <w:r w:rsidR="009D20C0" w:rsidRPr="00F33937">
        <w:rPr>
          <w:rFonts w:ascii="Times New Roman" w:hAnsi="Times New Roman" w:cs="Times New Roman"/>
          <w:sz w:val="24"/>
          <w:szCs w:val="24"/>
        </w:rPr>
        <w:t xml:space="preserve">residents </w:t>
      </w:r>
      <w:r w:rsidR="009D475A" w:rsidRPr="00F33937">
        <w:rPr>
          <w:rFonts w:ascii="Times New Roman" w:hAnsi="Times New Roman" w:cs="Times New Roman"/>
          <w:sz w:val="24"/>
          <w:szCs w:val="24"/>
        </w:rPr>
        <w:t>w</w:t>
      </w:r>
      <w:r w:rsidR="009D20C0" w:rsidRPr="00F33937">
        <w:rPr>
          <w:rFonts w:ascii="Times New Roman" w:hAnsi="Times New Roman" w:cs="Times New Roman"/>
          <w:sz w:val="24"/>
          <w:szCs w:val="24"/>
        </w:rPr>
        <w:t>ere</w:t>
      </w:r>
      <w:r w:rsidRPr="00F33937">
        <w:rPr>
          <w:rFonts w:ascii="Times New Roman" w:hAnsi="Times New Roman" w:cs="Times New Roman"/>
          <w:sz w:val="24"/>
          <w:szCs w:val="24"/>
        </w:rPr>
        <w:t xml:space="preserve"> unfo</w:t>
      </w:r>
      <w:r w:rsidR="009D475A" w:rsidRPr="00F33937">
        <w:rPr>
          <w:rFonts w:ascii="Times New Roman" w:hAnsi="Times New Roman" w:cs="Times New Roman"/>
          <w:sz w:val="24"/>
          <w:szCs w:val="24"/>
        </w:rPr>
        <w:t>rtunate enough to be the victim</w:t>
      </w:r>
      <w:r w:rsidR="009D20C0" w:rsidRPr="00F33937">
        <w:rPr>
          <w:rFonts w:ascii="Times New Roman" w:hAnsi="Times New Roman" w:cs="Times New Roman"/>
          <w:sz w:val="24"/>
          <w:szCs w:val="24"/>
        </w:rPr>
        <w:t>s</w:t>
      </w:r>
      <w:r w:rsidRPr="00F33937">
        <w:rPr>
          <w:rFonts w:ascii="Times New Roman" w:hAnsi="Times New Roman" w:cs="Times New Roman"/>
          <w:sz w:val="24"/>
          <w:szCs w:val="24"/>
        </w:rPr>
        <w:t xml:space="preserve"> of enmeshment with secessionists</w:t>
      </w:r>
      <w:r w:rsidR="00235163" w:rsidRPr="00F33937">
        <w:rPr>
          <w:rFonts w:ascii="Times New Roman" w:hAnsi="Times New Roman" w:cs="Times New Roman"/>
          <w:sz w:val="24"/>
          <w:szCs w:val="24"/>
        </w:rPr>
        <w:t>,</w:t>
      </w:r>
      <w:r w:rsidR="00430EF3">
        <w:rPr>
          <w:rFonts w:ascii="Times New Roman" w:hAnsi="Times New Roman" w:cs="Times New Roman"/>
          <w:sz w:val="24"/>
          <w:szCs w:val="24"/>
        </w:rPr>
        <w:t xml:space="preserve"> who used</w:t>
      </w:r>
      <w:r w:rsidR="00B248A6" w:rsidRPr="00F33937">
        <w:rPr>
          <w:rFonts w:ascii="Times New Roman" w:hAnsi="Times New Roman" w:cs="Times New Roman"/>
          <w:sz w:val="24"/>
          <w:szCs w:val="24"/>
        </w:rPr>
        <w:t xml:space="preserve"> </w:t>
      </w:r>
      <w:r w:rsidR="00E578DD" w:rsidRPr="00F33937">
        <w:rPr>
          <w:rFonts w:ascii="Times New Roman" w:hAnsi="Times New Roman" w:cs="Times New Roman"/>
          <w:sz w:val="24"/>
          <w:szCs w:val="24"/>
        </w:rPr>
        <w:t>th</w:t>
      </w:r>
      <w:r w:rsidR="009D475A" w:rsidRPr="00F33937">
        <w:rPr>
          <w:rFonts w:ascii="Times New Roman" w:hAnsi="Times New Roman" w:cs="Times New Roman"/>
          <w:sz w:val="24"/>
          <w:szCs w:val="24"/>
        </w:rPr>
        <w:t>e</w:t>
      </w:r>
      <w:r w:rsidR="009D20C0" w:rsidRPr="00F33937">
        <w:rPr>
          <w:rFonts w:ascii="Times New Roman" w:hAnsi="Times New Roman" w:cs="Times New Roman"/>
          <w:sz w:val="24"/>
          <w:szCs w:val="24"/>
        </w:rPr>
        <w:t xml:space="preserve"> </w:t>
      </w:r>
      <w:r w:rsidR="009D475A" w:rsidRPr="00F33937">
        <w:rPr>
          <w:rFonts w:ascii="Times New Roman" w:hAnsi="Times New Roman" w:cs="Times New Roman"/>
          <w:sz w:val="24"/>
          <w:szCs w:val="24"/>
        </w:rPr>
        <w:t>village</w:t>
      </w:r>
      <w:r w:rsidR="00B248A6" w:rsidRPr="00F33937">
        <w:rPr>
          <w:rFonts w:ascii="Times New Roman" w:hAnsi="Times New Roman" w:cs="Times New Roman"/>
          <w:sz w:val="24"/>
          <w:szCs w:val="24"/>
        </w:rPr>
        <w:t xml:space="preserve"> as a storage and meeting location</w:t>
      </w:r>
      <w:r w:rsidRPr="00F33937">
        <w:rPr>
          <w:rFonts w:ascii="Times New Roman" w:hAnsi="Times New Roman" w:cs="Times New Roman"/>
          <w:sz w:val="24"/>
          <w:szCs w:val="24"/>
        </w:rPr>
        <w:t>.</w:t>
      </w:r>
      <w:r w:rsidR="001F05E3" w:rsidRPr="00F33937">
        <w:rPr>
          <w:rStyle w:val="FootnoteReference"/>
          <w:rFonts w:ascii="Times New Roman" w:hAnsi="Times New Roman" w:cs="Times New Roman"/>
          <w:sz w:val="24"/>
          <w:szCs w:val="24"/>
        </w:rPr>
        <w:footnoteReference w:id="132"/>
      </w:r>
      <w:r w:rsidR="009D475A" w:rsidRPr="00F33937">
        <w:rPr>
          <w:rFonts w:ascii="Times New Roman" w:hAnsi="Times New Roman" w:cs="Times New Roman"/>
          <w:sz w:val="24"/>
          <w:szCs w:val="24"/>
        </w:rPr>
        <w:t xml:space="preserve">  </w:t>
      </w:r>
      <w:r w:rsidR="00430EF3">
        <w:rPr>
          <w:rFonts w:ascii="Times New Roman" w:hAnsi="Times New Roman" w:cs="Times New Roman"/>
          <w:sz w:val="24"/>
          <w:szCs w:val="24"/>
        </w:rPr>
        <w:t xml:space="preserve">In the months </w:t>
      </w:r>
      <w:r w:rsidR="00603446" w:rsidRPr="00F33937">
        <w:rPr>
          <w:rFonts w:ascii="Times New Roman" w:hAnsi="Times New Roman" w:cs="Times New Roman"/>
          <w:sz w:val="24"/>
          <w:szCs w:val="24"/>
        </w:rPr>
        <w:t>leading to the August massacre,</w:t>
      </w:r>
      <w:r w:rsidR="00314B16" w:rsidRPr="00F33937">
        <w:rPr>
          <w:rStyle w:val="FootnoteReference"/>
          <w:rFonts w:ascii="Times New Roman" w:hAnsi="Times New Roman" w:cs="Times New Roman"/>
          <w:sz w:val="24"/>
          <w:szCs w:val="24"/>
        </w:rPr>
        <w:footnoteReference w:id="133"/>
      </w:r>
      <w:r w:rsidR="00603446" w:rsidRPr="00F33937">
        <w:rPr>
          <w:rFonts w:ascii="Times New Roman" w:hAnsi="Times New Roman" w:cs="Times New Roman"/>
          <w:sz w:val="24"/>
          <w:szCs w:val="24"/>
        </w:rPr>
        <w:t xml:space="preserve"> </w:t>
      </w:r>
      <w:r w:rsidR="003152A8" w:rsidRPr="00F33937">
        <w:rPr>
          <w:rFonts w:ascii="Times New Roman" w:hAnsi="Times New Roman" w:cs="Times New Roman"/>
          <w:sz w:val="24"/>
          <w:szCs w:val="24"/>
        </w:rPr>
        <w:t>the State and the Shield had been making noise of proxy war,</w:t>
      </w:r>
      <w:r w:rsidR="003152A8" w:rsidRPr="00F33937">
        <w:rPr>
          <w:rStyle w:val="FootnoteReference"/>
          <w:rFonts w:ascii="Times New Roman" w:hAnsi="Times New Roman" w:cs="Times New Roman"/>
          <w:sz w:val="24"/>
          <w:szCs w:val="24"/>
        </w:rPr>
        <w:footnoteReference w:id="134"/>
      </w:r>
      <w:r w:rsidR="003152A8" w:rsidRPr="00F33937">
        <w:rPr>
          <w:rFonts w:ascii="Times New Roman" w:hAnsi="Times New Roman" w:cs="Times New Roman"/>
          <w:sz w:val="24"/>
          <w:szCs w:val="24"/>
        </w:rPr>
        <w:t xml:space="preserve"> with the poorest province of Western Charechia for their battleground.</w:t>
      </w:r>
      <w:r w:rsidR="003152A8" w:rsidRPr="00F33937">
        <w:rPr>
          <w:rStyle w:val="FootnoteReference"/>
          <w:rFonts w:ascii="Times New Roman" w:hAnsi="Times New Roman" w:cs="Times New Roman"/>
          <w:sz w:val="24"/>
          <w:szCs w:val="24"/>
        </w:rPr>
        <w:footnoteReference w:id="135"/>
      </w:r>
      <w:r w:rsidR="003152A8" w:rsidRPr="00F33937">
        <w:rPr>
          <w:rFonts w:ascii="Times New Roman" w:hAnsi="Times New Roman" w:cs="Times New Roman"/>
          <w:sz w:val="24"/>
          <w:szCs w:val="24"/>
        </w:rPr>
        <w:t xml:space="preserve">  </w:t>
      </w:r>
      <w:r w:rsidR="00E80A2F" w:rsidRPr="00F33937">
        <w:rPr>
          <w:rFonts w:ascii="Times New Roman" w:hAnsi="Times New Roman" w:cs="Times New Roman"/>
          <w:sz w:val="24"/>
          <w:szCs w:val="24"/>
        </w:rPr>
        <w:t xml:space="preserve">Five months after </w:t>
      </w:r>
      <w:r w:rsidR="00E578DD" w:rsidRPr="00F33937">
        <w:rPr>
          <w:rFonts w:ascii="Times New Roman" w:hAnsi="Times New Roman" w:cs="Times New Roman"/>
          <w:sz w:val="24"/>
          <w:szCs w:val="24"/>
        </w:rPr>
        <w:t>t</w:t>
      </w:r>
      <w:r w:rsidR="009D475A" w:rsidRPr="00F33937">
        <w:rPr>
          <w:rFonts w:ascii="Times New Roman" w:hAnsi="Times New Roman" w:cs="Times New Roman"/>
          <w:sz w:val="24"/>
          <w:szCs w:val="24"/>
        </w:rPr>
        <w:t xml:space="preserve">he </w:t>
      </w:r>
      <w:r w:rsidR="00E80A2F" w:rsidRPr="00F33937">
        <w:rPr>
          <w:rFonts w:ascii="Times New Roman" w:hAnsi="Times New Roman" w:cs="Times New Roman"/>
          <w:sz w:val="24"/>
          <w:szCs w:val="24"/>
        </w:rPr>
        <w:t xml:space="preserve">government committed the Paraio massacre, </w:t>
      </w:r>
      <w:r w:rsidR="002B5E78" w:rsidRPr="00F33937">
        <w:rPr>
          <w:rFonts w:ascii="Times New Roman" w:hAnsi="Times New Roman" w:cs="Times New Roman"/>
          <w:sz w:val="24"/>
          <w:szCs w:val="24"/>
        </w:rPr>
        <w:t xml:space="preserve">Charechia’s Executive on January 19, 2018 officially promised </w:t>
      </w:r>
      <w:r w:rsidR="00430EF3">
        <w:rPr>
          <w:rFonts w:ascii="Times New Roman" w:hAnsi="Times New Roman" w:cs="Times New Roman"/>
          <w:sz w:val="24"/>
          <w:szCs w:val="24"/>
        </w:rPr>
        <w:t xml:space="preserve">that </w:t>
      </w:r>
      <w:r w:rsidR="002B5E78" w:rsidRPr="00F33937">
        <w:rPr>
          <w:rFonts w:ascii="Times New Roman" w:hAnsi="Times New Roman" w:cs="Times New Roman"/>
          <w:sz w:val="24"/>
          <w:szCs w:val="24"/>
        </w:rPr>
        <w:t>further “military raids, both groun</w:t>
      </w:r>
      <w:r w:rsidR="000976BA" w:rsidRPr="00F33937">
        <w:rPr>
          <w:rFonts w:ascii="Times New Roman" w:hAnsi="Times New Roman" w:cs="Times New Roman"/>
          <w:sz w:val="24"/>
          <w:szCs w:val="24"/>
        </w:rPr>
        <w:t xml:space="preserve">d </w:t>
      </w:r>
      <w:r w:rsidR="002B5E78" w:rsidRPr="00F33937">
        <w:rPr>
          <w:rFonts w:ascii="Times New Roman" w:hAnsi="Times New Roman" w:cs="Times New Roman"/>
          <w:sz w:val="24"/>
          <w:szCs w:val="24"/>
        </w:rPr>
        <w:t>a</w:t>
      </w:r>
      <w:r w:rsidR="000976BA" w:rsidRPr="00F33937">
        <w:rPr>
          <w:rFonts w:ascii="Times New Roman" w:hAnsi="Times New Roman" w:cs="Times New Roman"/>
          <w:sz w:val="24"/>
          <w:szCs w:val="24"/>
        </w:rPr>
        <w:t>n</w:t>
      </w:r>
      <w:r w:rsidR="00751D62" w:rsidRPr="00F33937">
        <w:rPr>
          <w:rFonts w:ascii="Times New Roman" w:hAnsi="Times New Roman" w:cs="Times New Roman"/>
          <w:sz w:val="24"/>
          <w:szCs w:val="24"/>
        </w:rPr>
        <w:t xml:space="preserve">d </w:t>
      </w:r>
      <w:r w:rsidR="002B5E78" w:rsidRPr="00F33937">
        <w:rPr>
          <w:rFonts w:ascii="Times New Roman" w:hAnsi="Times New Roman" w:cs="Times New Roman"/>
          <w:sz w:val="24"/>
          <w:szCs w:val="24"/>
        </w:rPr>
        <w:t>air, will continue in regions where instability is fomented by [The Shield].”</w:t>
      </w:r>
      <w:r w:rsidR="002B5E78" w:rsidRPr="00F33937">
        <w:rPr>
          <w:rStyle w:val="FootnoteReference"/>
          <w:rFonts w:ascii="Times New Roman" w:hAnsi="Times New Roman" w:cs="Times New Roman"/>
          <w:sz w:val="24"/>
          <w:szCs w:val="24"/>
        </w:rPr>
        <w:footnoteReference w:id="136"/>
      </w:r>
      <w:r w:rsidR="002B5E78" w:rsidRPr="00F33937">
        <w:rPr>
          <w:rFonts w:ascii="Times New Roman" w:hAnsi="Times New Roman" w:cs="Times New Roman"/>
          <w:sz w:val="24"/>
          <w:szCs w:val="24"/>
        </w:rPr>
        <w:t xml:space="preserve"> </w:t>
      </w:r>
      <w:r w:rsidR="000976BA" w:rsidRPr="00F33937">
        <w:rPr>
          <w:rFonts w:ascii="Times New Roman" w:hAnsi="Times New Roman" w:cs="Times New Roman"/>
          <w:sz w:val="24"/>
          <w:szCs w:val="24"/>
        </w:rPr>
        <w:t xml:space="preserve"> </w:t>
      </w:r>
      <w:r w:rsidR="00D97774" w:rsidRPr="00F33937">
        <w:rPr>
          <w:rFonts w:ascii="Times New Roman" w:hAnsi="Times New Roman" w:cs="Times New Roman"/>
          <w:sz w:val="24"/>
          <w:szCs w:val="24"/>
        </w:rPr>
        <w:t xml:space="preserve">This official response shows the State disregarding the great enmeshment secessionists </w:t>
      </w:r>
      <w:r w:rsidR="009A7036" w:rsidRPr="00F33937">
        <w:rPr>
          <w:rFonts w:ascii="Times New Roman" w:hAnsi="Times New Roman" w:cs="Times New Roman"/>
          <w:sz w:val="24"/>
          <w:szCs w:val="24"/>
        </w:rPr>
        <w:t xml:space="preserve">have </w:t>
      </w:r>
      <w:r w:rsidR="00D97774" w:rsidRPr="00F33937">
        <w:rPr>
          <w:rFonts w:ascii="Times New Roman" w:hAnsi="Times New Roman" w:cs="Times New Roman"/>
          <w:sz w:val="24"/>
          <w:szCs w:val="24"/>
        </w:rPr>
        <w:t>effected upon P</w:t>
      </w:r>
      <w:r w:rsidR="009A7036" w:rsidRPr="00F33937">
        <w:rPr>
          <w:rFonts w:ascii="Times New Roman" w:hAnsi="Times New Roman" w:cs="Times New Roman"/>
          <w:sz w:val="24"/>
          <w:szCs w:val="24"/>
        </w:rPr>
        <w:t xml:space="preserve">etitioners.  </w:t>
      </w:r>
      <w:r w:rsidR="007709E1" w:rsidRPr="00F33937">
        <w:rPr>
          <w:rFonts w:ascii="Times New Roman" w:hAnsi="Times New Roman" w:cs="Times New Roman"/>
          <w:sz w:val="24"/>
          <w:szCs w:val="24"/>
        </w:rPr>
        <w:t>The statement</w:t>
      </w:r>
      <w:r w:rsidR="009A7036" w:rsidRPr="00F33937">
        <w:rPr>
          <w:rFonts w:ascii="Times New Roman" w:hAnsi="Times New Roman" w:cs="Times New Roman"/>
          <w:sz w:val="24"/>
          <w:szCs w:val="24"/>
        </w:rPr>
        <w:t xml:space="preserve"> also </w:t>
      </w:r>
      <w:r w:rsidR="00D97774" w:rsidRPr="00F33937">
        <w:rPr>
          <w:rFonts w:ascii="Times New Roman" w:hAnsi="Times New Roman" w:cs="Times New Roman"/>
          <w:sz w:val="24"/>
          <w:szCs w:val="24"/>
        </w:rPr>
        <w:t xml:space="preserve">advocates for </w:t>
      </w:r>
      <w:r w:rsidR="007709E1" w:rsidRPr="00F33937">
        <w:rPr>
          <w:rFonts w:ascii="Times New Roman" w:hAnsi="Times New Roman" w:cs="Times New Roman"/>
          <w:sz w:val="24"/>
          <w:szCs w:val="24"/>
        </w:rPr>
        <w:t xml:space="preserve">continued </w:t>
      </w:r>
      <w:r w:rsidR="00D97774" w:rsidRPr="00F33937">
        <w:rPr>
          <w:rFonts w:ascii="Times New Roman" w:hAnsi="Times New Roman" w:cs="Times New Roman"/>
          <w:sz w:val="24"/>
          <w:szCs w:val="24"/>
        </w:rPr>
        <w:t>violence</w:t>
      </w:r>
      <w:r w:rsidR="00D97774" w:rsidRPr="00F33937">
        <w:rPr>
          <w:rStyle w:val="FootnoteReference"/>
          <w:rFonts w:ascii="Times New Roman" w:hAnsi="Times New Roman" w:cs="Times New Roman"/>
          <w:sz w:val="24"/>
          <w:szCs w:val="24"/>
        </w:rPr>
        <w:footnoteReference w:id="137"/>
      </w:r>
      <w:r w:rsidR="00D97774" w:rsidRPr="00F33937">
        <w:rPr>
          <w:rFonts w:ascii="Times New Roman" w:hAnsi="Times New Roman" w:cs="Times New Roman"/>
          <w:sz w:val="24"/>
          <w:szCs w:val="24"/>
        </w:rPr>
        <w:t xml:space="preserve"> against a group</w:t>
      </w:r>
      <w:r w:rsidR="007538CB" w:rsidRPr="00F33937">
        <w:rPr>
          <w:rFonts w:ascii="Times New Roman" w:hAnsi="Times New Roman" w:cs="Times New Roman"/>
          <w:sz w:val="24"/>
          <w:szCs w:val="24"/>
        </w:rPr>
        <w:t>,</w:t>
      </w:r>
      <w:r w:rsidR="00D97774" w:rsidRPr="00F33937">
        <w:rPr>
          <w:rFonts w:ascii="Times New Roman" w:hAnsi="Times New Roman" w:cs="Times New Roman"/>
          <w:sz w:val="24"/>
          <w:szCs w:val="24"/>
        </w:rPr>
        <w:t xml:space="preserve"> on the grounds of residence.  </w:t>
      </w:r>
    </w:p>
    <w:p w14:paraId="57BEAB30" w14:textId="7447DC98" w:rsidR="0035789B" w:rsidRPr="00F33937" w:rsidRDefault="0035789B" w:rsidP="0035789B">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F87183" w:rsidRPr="00F33937">
        <w:rPr>
          <w:rFonts w:ascii="Times New Roman" w:hAnsi="Times New Roman" w:cs="Times New Roman"/>
          <w:sz w:val="24"/>
          <w:szCs w:val="24"/>
        </w:rPr>
        <w:t xml:space="preserve">As shown in Section </w:t>
      </w:r>
      <w:r w:rsidR="00193540">
        <w:rPr>
          <w:rFonts w:ascii="Times New Roman" w:hAnsi="Times New Roman" w:cs="Times New Roman"/>
          <w:sz w:val="24"/>
          <w:szCs w:val="24"/>
        </w:rPr>
        <w:t>3.4</w:t>
      </w:r>
      <w:r w:rsidR="00F87183" w:rsidRPr="00F33937">
        <w:rPr>
          <w:rFonts w:ascii="Times New Roman" w:hAnsi="Times New Roman" w:cs="Times New Roman"/>
          <w:sz w:val="24"/>
          <w:szCs w:val="24"/>
        </w:rPr>
        <w:t>,</w:t>
      </w:r>
      <w:r w:rsidR="00193540">
        <w:rPr>
          <w:rStyle w:val="FootnoteReference"/>
          <w:rFonts w:ascii="Times New Roman" w:hAnsi="Times New Roman" w:cs="Times New Roman"/>
          <w:sz w:val="24"/>
          <w:szCs w:val="24"/>
        </w:rPr>
        <w:footnoteReference w:id="138"/>
      </w:r>
      <w:r w:rsidR="00F87183" w:rsidRPr="00F33937">
        <w:rPr>
          <w:rFonts w:ascii="Times New Roman" w:hAnsi="Times New Roman" w:cs="Times New Roman"/>
          <w:sz w:val="24"/>
          <w:szCs w:val="24"/>
        </w:rPr>
        <w:t xml:space="preserve"> in preparation for the military maneuver on Paraio, State actors performed reconnaissance and gathered intelligence enough to deduce a sizable Shield presence interwoven with the people of Paraio.</w:t>
      </w:r>
      <w:r w:rsidR="00F87183" w:rsidRPr="00F33937">
        <w:rPr>
          <w:rStyle w:val="FootnoteReference"/>
          <w:rFonts w:ascii="Times New Roman" w:hAnsi="Times New Roman" w:cs="Times New Roman"/>
          <w:sz w:val="24"/>
          <w:szCs w:val="24"/>
        </w:rPr>
        <w:footnoteReference w:id="139"/>
      </w:r>
      <w:r w:rsidR="00F87183" w:rsidRPr="00F33937">
        <w:rPr>
          <w:rFonts w:ascii="Times New Roman" w:hAnsi="Times New Roman" w:cs="Times New Roman"/>
          <w:sz w:val="24"/>
          <w:szCs w:val="24"/>
        </w:rPr>
        <w:t xml:space="preserve">  The Charechian Military Police reported</w:t>
      </w:r>
      <w:r w:rsidR="000D49BA">
        <w:rPr>
          <w:rFonts w:ascii="Times New Roman" w:hAnsi="Times New Roman" w:cs="Times New Roman"/>
          <w:sz w:val="24"/>
          <w:szCs w:val="24"/>
        </w:rPr>
        <w:t>,</w:t>
      </w:r>
      <w:r w:rsidR="00F87183" w:rsidRPr="00F33937">
        <w:rPr>
          <w:rFonts w:ascii="Times New Roman" w:hAnsi="Times New Roman" w:cs="Times New Roman"/>
          <w:sz w:val="24"/>
          <w:szCs w:val="24"/>
        </w:rPr>
        <w:t xml:space="preserve"> two months before Petitioners’ joint lawsuit was dismissed</w:t>
      </w:r>
      <w:r w:rsidR="000D49BA">
        <w:rPr>
          <w:rFonts w:ascii="Times New Roman" w:hAnsi="Times New Roman" w:cs="Times New Roman"/>
          <w:sz w:val="24"/>
          <w:szCs w:val="24"/>
        </w:rPr>
        <w:t>,</w:t>
      </w:r>
      <w:r w:rsidR="00F87183" w:rsidRPr="00F33937">
        <w:rPr>
          <w:rFonts w:ascii="Times New Roman" w:hAnsi="Times New Roman" w:cs="Times New Roman"/>
          <w:sz w:val="24"/>
          <w:szCs w:val="24"/>
        </w:rPr>
        <w:t xml:space="preserve"> that similar military raids</w:t>
      </w:r>
      <w:r w:rsidR="00F87183" w:rsidRPr="00F33937">
        <w:rPr>
          <w:rStyle w:val="FootnoteReference"/>
          <w:rFonts w:ascii="Times New Roman" w:hAnsi="Times New Roman" w:cs="Times New Roman"/>
          <w:sz w:val="24"/>
          <w:szCs w:val="24"/>
        </w:rPr>
        <w:footnoteReference w:id="140"/>
      </w:r>
      <w:r w:rsidR="00F87183" w:rsidRPr="00F33937">
        <w:rPr>
          <w:rFonts w:ascii="Times New Roman" w:hAnsi="Times New Roman" w:cs="Times New Roman"/>
          <w:sz w:val="24"/>
          <w:szCs w:val="24"/>
        </w:rPr>
        <w:t xml:space="preserve"> generated the level of collateral damage they did due to “great amounts of integration and entanglement between the villagers and the operatives of the Shield of the North.”</w:t>
      </w:r>
      <w:r w:rsidR="00F87183" w:rsidRPr="00F33937">
        <w:rPr>
          <w:rStyle w:val="FootnoteReference"/>
          <w:rFonts w:ascii="Times New Roman" w:hAnsi="Times New Roman" w:cs="Times New Roman"/>
          <w:sz w:val="24"/>
          <w:szCs w:val="24"/>
        </w:rPr>
        <w:footnoteReference w:id="141"/>
      </w:r>
      <w:r w:rsidR="00F87183" w:rsidRPr="00F33937">
        <w:rPr>
          <w:rFonts w:ascii="Times New Roman" w:hAnsi="Times New Roman" w:cs="Times New Roman"/>
          <w:sz w:val="24"/>
          <w:szCs w:val="24"/>
        </w:rPr>
        <w:t xml:space="preserve">  The illegally-obtained intelligence described under this document’s Article 11 violation suggests saturation of Shield of the North presence in Paraio was de facto human shielding.</w:t>
      </w:r>
      <w:r w:rsidR="00F87183" w:rsidRPr="00F33937">
        <w:rPr>
          <w:rStyle w:val="FootnoteReference"/>
          <w:rFonts w:ascii="Times New Roman" w:hAnsi="Times New Roman" w:cs="Times New Roman"/>
          <w:sz w:val="24"/>
          <w:szCs w:val="24"/>
        </w:rPr>
        <w:footnoteReference w:id="142"/>
      </w:r>
      <w:r w:rsidR="00F87183" w:rsidRPr="00F33937">
        <w:rPr>
          <w:rFonts w:ascii="Times New Roman" w:hAnsi="Times New Roman" w:cs="Times New Roman"/>
          <w:sz w:val="24"/>
          <w:szCs w:val="24"/>
        </w:rPr>
        <w:t xml:space="preserve"> </w:t>
      </w:r>
      <w:r w:rsidR="00792F02" w:rsidRPr="00F33937">
        <w:rPr>
          <w:rFonts w:ascii="Times New Roman" w:hAnsi="Times New Roman" w:cs="Times New Roman"/>
          <w:sz w:val="24"/>
          <w:szCs w:val="24"/>
        </w:rPr>
        <w:t xml:space="preserve"> </w:t>
      </w:r>
      <w:r w:rsidR="00F87183" w:rsidRPr="00F33937">
        <w:rPr>
          <w:rFonts w:ascii="Times New Roman" w:hAnsi="Times New Roman" w:cs="Times New Roman"/>
          <w:sz w:val="24"/>
          <w:szCs w:val="24"/>
        </w:rPr>
        <w:t xml:space="preserve"> </w:t>
      </w:r>
    </w:p>
    <w:p w14:paraId="78F3B430" w14:textId="03E6A018" w:rsidR="00E42361" w:rsidRPr="00F33937" w:rsidRDefault="0035789B" w:rsidP="005218AE">
      <w:pPr>
        <w:spacing w:after="0" w:line="480" w:lineRule="auto"/>
        <w:contextualSpacing/>
        <w:rPr>
          <w:rFonts w:ascii="Times New Roman" w:hAnsi="Times New Roman" w:cs="Times New Roman"/>
          <w:sz w:val="24"/>
        </w:rPr>
      </w:pPr>
      <w:r w:rsidRPr="00F33937">
        <w:rPr>
          <w:rFonts w:ascii="Times New Roman" w:hAnsi="Times New Roman" w:cs="Times New Roman"/>
          <w:sz w:val="24"/>
          <w:szCs w:val="24"/>
        </w:rPr>
        <w:lastRenderedPageBreak/>
        <w:tab/>
      </w:r>
      <w:r w:rsidR="00F87183" w:rsidRPr="00F33937">
        <w:rPr>
          <w:rFonts w:ascii="Times New Roman" w:hAnsi="Times New Roman" w:cs="Times New Roman"/>
          <w:sz w:val="24"/>
          <w:szCs w:val="24"/>
        </w:rPr>
        <w:t xml:space="preserve">Given that the government’s own report on conditions of average raid </w:t>
      </w:r>
      <w:r w:rsidRPr="00F33937">
        <w:rPr>
          <w:rFonts w:ascii="Times New Roman" w:hAnsi="Times New Roman" w:cs="Times New Roman"/>
          <w:sz w:val="24"/>
          <w:szCs w:val="24"/>
        </w:rPr>
        <w:t>demonstrates</w:t>
      </w:r>
      <w:r w:rsidR="00F87183" w:rsidRPr="00F33937">
        <w:rPr>
          <w:rFonts w:ascii="Times New Roman" w:hAnsi="Times New Roman" w:cs="Times New Roman"/>
          <w:sz w:val="24"/>
          <w:szCs w:val="24"/>
        </w:rPr>
        <w:t xml:space="preserve"> great frequency of non-combatant civilian and Shield enmeshment,</w:t>
      </w:r>
      <w:r w:rsidR="00F87183" w:rsidRPr="00F33937">
        <w:rPr>
          <w:rStyle w:val="FootnoteReference"/>
          <w:rFonts w:ascii="Times New Roman" w:hAnsi="Times New Roman" w:cs="Times New Roman"/>
          <w:sz w:val="24"/>
          <w:szCs w:val="24"/>
        </w:rPr>
        <w:footnoteReference w:id="143"/>
      </w:r>
      <w:r w:rsidR="00F87183" w:rsidRPr="00F33937">
        <w:rPr>
          <w:rFonts w:ascii="Times New Roman" w:hAnsi="Times New Roman" w:cs="Times New Roman"/>
          <w:sz w:val="24"/>
          <w:szCs w:val="24"/>
        </w:rPr>
        <w:t xml:space="preserve"> under the principle of distinction that only fighters may be targeted,</w:t>
      </w:r>
      <w:r w:rsidR="00F87183" w:rsidRPr="00F33937">
        <w:rPr>
          <w:rStyle w:val="FootnoteReference"/>
          <w:rFonts w:ascii="Times New Roman" w:hAnsi="Times New Roman" w:cs="Times New Roman"/>
          <w:sz w:val="24"/>
          <w:szCs w:val="24"/>
        </w:rPr>
        <w:footnoteReference w:id="144"/>
      </w:r>
      <w:r w:rsidR="00F87183" w:rsidRPr="00F33937">
        <w:rPr>
          <w:rFonts w:ascii="Times New Roman" w:hAnsi="Times New Roman" w:cs="Times New Roman"/>
          <w:sz w:val="24"/>
          <w:szCs w:val="24"/>
        </w:rPr>
        <w:t xml:space="preserve"> the State’s bombing of civilians (here:  Paraio residents) and civilian objects (here:  Paraio property) was a clear violation of International Humanitarian Law.</w:t>
      </w:r>
      <w:r w:rsidR="00F87183" w:rsidRPr="00F33937">
        <w:rPr>
          <w:rStyle w:val="FootnoteReference"/>
          <w:rFonts w:ascii="Times New Roman" w:hAnsi="Times New Roman" w:cs="Times New Roman"/>
          <w:sz w:val="24"/>
          <w:szCs w:val="24"/>
        </w:rPr>
        <w:footnoteReference w:id="145"/>
      </w:r>
      <w:r w:rsidR="005218AE" w:rsidRPr="00F33937">
        <w:rPr>
          <w:rFonts w:ascii="Times New Roman" w:hAnsi="Times New Roman" w:cs="Times New Roman"/>
          <w:sz w:val="24"/>
          <w:szCs w:val="24"/>
        </w:rPr>
        <w:t xml:space="preserve">  </w:t>
      </w:r>
      <w:r w:rsidR="00792F02" w:rsidRPr="00F33937">
        <w:rPr>
          <w:rFonts w:ascii="Times New Roman" w:hAnsi="Times New Roman" w:cs="Times New Roman"/>
          <w:sz w:val="24"/>
          <w:szCs w:val="24"/>
        </w:rPr>
        <w:t>T</w:t>
      </w:r>
      <w:r w:rsidR="00E42361" w:rsidRPr="00F33937">
        <w:rPr>
          <w:rFonts w:ascii="Times New Roman" w:hAnsi="Times New Roman" w:cs="Times New Roman"/>
          <w:sz w:val="24"/>
          <w:szCs w:val="24"/>
        </w:rPr>
        <w:t>he Geneva C</w:t>
      </w:r>
      <w:r w:rsidR="005218AE" w:rsidRPr="00F33937">
        <w:rPr>
          <w:rFonts w:ascii="Times New Roman" w:hAnsi="Times New Roman" w:cs="Times New Roman"/>
          <w:sz w:val="24"/>
          <w:szCs w:val="24"/>
        </w:rPr>
        <w:t xml:space="preserve">onvention </w:t>
      </w:r>
      <w:r w:rsidR="00E42361" w:rsidRPr="00F33937">
        <w:rPr>
          <w:rFonts w:ascii="Times New Roman" w:hAnsi="Times New Roman" w:cs="Times New Roman"/>
          <w:sz w:val="24"/>
          <w:szCs w:val="24"/>
        </w:rPr>
        <w:t>makes plain the State’s obligation to distinguish</w:t>
      </w:r>
      <w:r w:rsidR="000D49BA">
        <w:rPr>
          <w:rFonts w:ascii="Times New Roman" w:hAnsi="Times New Roman" w:cs="Times New Roman"/>
          <w:sz w:val="24"/>
          <w:szCs w:val="24"/>
        </w:rPr>
        <w:t>:</w:t>
      </w:r>
    </w:p>
    <w:p w14:paraId="6A7C606E" w14:textId="2D911D9B" w:rsidR="004A2350" w:rsidRPr="00F33937" w:rsidRDefault="00E42361" w:rsidP="004A2350">
      <w:pPr>
        <w:spacing w:after="0" w:line="480" w:lineRule="auto"/>
        <w:contextualSpacing/>
        <w:rPr>
          <w:rFonts w:ascii="Times New Roman" w:hAnsi="Times New Roman" w:cs="Times New Roman"/>
          <w:sz w:val="24"/>
        </w:rPr>
      </w:pPr>
      <w:r w:rsidRPr="00F33937">
        <w:rPr>
          <w:rFonts w:ascii="Times New Roman" w:hAnsi="Times New Roman" w:cs="Times New Roman"/>
          <w:sz w:val="24"/>
          <w:szCs w:val="24"/>
        </w:rPr>
        <w:t>“[T]hose who plan or decide upon an attack shall: (i) do everything feasible to verify that the objectives to be attacked are neither civilians nor civilian objects and are not subject to special protection but are military objectives … and that it is not prohibited by the provisions of this Protocol to attack them.  Each party to the conflict must do everything feasible to verify that targets are military objectives.”</w:t>
      </w:r>
      <w:r w:rsidRPr="00F33937">
        <w:rPr>
          <w:rStyle w:val="FootnoteReference"/>
          <w:rFonts w:ascii="Times New Roman" w:hAnsi="Times New Roman" w:cs="Times New Roman"/>
          <w:sz w:val="24"/>
          <w:szCs w:val="24"/>
        </w:rPr>
        <w:footnoteReference w:id="146"/>
      </w:r>
      <w:r w:rsidRPr="00F33937">
        <w:rPr>
          <w:rFonts w:ascii="Times New Roman" w:hAnsi="Times New Roman" w:cs="Times New Roman"/>
          <w:sz w:val="24"/>
          <w:szCs w:val="24"/>
        </w:rPr>
        <w:t xml:space="preserve">  </w:t>
      </w:r>
      <w:r w:rsidR="00B3543C" w:rsidRPr="00F33937">
        <w:rPr>
          <w:rFonts w:ascii="Times New Roman" w:hAnsi="Times New Roman" w:cs="Times New Roman"/>
          <w:sz w:val="24"/>
        </w:rPr>
        <w:t>In addition to the Geneva Convention’s pronouncement on the subject, European Court of Human Rights region</w:t>
      </w:r>
      <w:r w:rsidR="00F87183" w:rsidRPr="00F33937">
        <w:rPr>
          <w:rFonts w:ascii="Times New Roman" w:hAnsi="Times New Roman" w:cs="Times New Roman"/>
          <w:sz w:val="24"/>
        </w:rPr>
        <w:t>al scholars find</w:t>
      </w:r>
      <w:r w:rsidR="00B3543C" w:rsidRPr="00F33937">
        <w:rPr>
          <w:rFonts w:ascii="Times New Roman" w:hAnsi="Times New Roman" w:cs="Times New Roman"/>
          <w:sz w:val="24"/>
        </w:rPr>
        <w:t xml:space="preserve"> human shielding</w:t>
      </w:r>
      <w:r w:rsidR="00F87183" w:rsidRPr="00F33937">
        <w:rPr>
          <w:rFonts w:ascii="Times New Roman" w:hAnsi="Times New Roman" w:cs="Times New Roman"/>
          <w:sz w:val="24"/>
        </w:rPr>
        <w:t xml:space="preserve"> an il</w:t>
      </w:r>
      <w:r w:rsidR="00B3543C" w:rsidRPr="00F33937">
        <w:rPr>
          <w:rFonts w:ascii="Times New Roman" w:hAnsi="Times New Roman" w:cs="Times New Roman"/>
          <w:sz w:val="24"/>
        </w:rPr>
        <w:t>legitimate reason for lawful combatants to act with wanton disregard for human life.</w:t>
      </w:r>
      <w:r w:rsidR="00B3543C" w:rsidRPr="00F33937">
        <w:rPr>
          <w:rStyle w:val="FootnoteReference"/>
          <w:rFonts w:ascii="Times New Roman" w:hAnsi="Times New Roman" w:cs="Times New Roman"/>
          <w:sz w:val="24"/>
        </w:rPr>
        <w:footnoteReference w:id="147"/>
      </w:r>
      <w:r w:rsidR="00B3543C" w:rsidRPr="00F33937">
        <w:rPr>
          <w:rFonts w:ascii="Times New Roman" w:hAnsi="Times New Roman" w:cs="Times New Roman"/>
          <w:sz w:val="24"/>
        </w:rPr>
        <w:t xml:space="preserve"> </w:t>
      </w:r>
      <w:r w:rsidR="002C37E6" w:rsidRPr="00F33937">
        <w:rPr>
          <w:rFonts w:ascii="Times New Roman" w:hAnsi="Times New Roman" w:cs="Times New Roman"/>
          <w:sz w:val="24"/>
        </w:rPr>
        <w:t xml:space="preserve"> </w:t>
      </w:r>
      <w:r w:rsidR="00A017A8">
        <w:rPr>
          <w:rFonts w:ascii="Times New Roman" w:hAnsi="Times New Roman" w:cs="Times New Roman"/>
          <w:sz w:val="24"/>
          <w:szCs w:val="24"/>
        </w:rPr>
        <w:t xml:space="preserve">Given that, </w:t>
      </w:r>
      <w:r w:rsidR="005218AE" w:rsidRPr="00F33937">
        <w:rPr>
          <w:rFonts w:ascii="Times New Roman" w:hAnsi="Times New Roman" w:cs="Times New Roman"/>
          <w:sz w:val="24"/>
          <w:szCs w:val="24"/>
        </w:rPr>
        <w:t>at the time of the raid upon Petitioners’ home</w:t>
      </w:r>
      <w:r w:rsidR="00A017A8">
        <w:rPr>
          <w:rFonts w:ascii="Times New Roman" w:hAnsi="Times New Roman" w:cs="Times New Roman"/>
          <w:sz w:val="24"/>
          <w:szCs w:val="24"/>
        </w:rPr>
        <w:t>,</w:t>
      </w:r>
      <w:r w:rsidR="005218AE" w:rsidRPr="00F33937">
        <w:rPr>
          <w:rFonts w:ascii="Times New Roman" w:hAnsi="Times New Roman" w:cs="Times New Roman"/>
          <w:sz w:val="24"/>
          <w:szCs w:val="24"/>
        </w:rPr>
        <w:t xml:space="preserve"> de facto human shielding was in operation, the </w:t>
      </w:r>
      <w:r w:rsidR="002C37E6" w:rsidRPr="00F33937">
        <w:rPr>
          <w:rFonts w:ascii="Times New Roman" w:hAnsi="Times New Roman" w:cs="Times New Roman"/>
          <w:sz w:val="24"/>
          <w:szCs w:val="24"/>
        </w:rPr>
        <w:t>State</w:t>
      </w:r>
      <w:r w:rsidR="0016100F" w:rsidRPr="00F33937">
        <w:rPr>
          <w:rFonts w:ascii="Times New Roman" w:hAnsi="Times New Roman" w:cs="Times New Roman"/>
          <w:sz w:val="24"/>
          <w:szCs w:val="24"/>
        </w:rPr>
        <w:t>,</w:t>
      </w:r>
      <w:r w:rsidR="002C37E6" w:rsidRPr="00F33937">
        <w:rPr>
          <w:rFonts w:ascii="Times New Roman" w:hAnsi="Times New Roman" w:cs="Times New Roman"/>
          <w:sz w:val="24"/>
          <w:szCs w:val="24"/>
        </w:rPr>
        <w:t xml:space="preserve"> </w:t>
      </w:r>
      <w:r w:rsidR="00374E7B" w:rsidRPr="00F33937">
        <w:rPr>
          <w:rFonts w:ascii="Times New Roman" w:hAnsi="Times New Roman" w:cs="Times New Roman"/>
          <w:sz w:val="24"/>
          <w:szCs w:val="24"/>
        </w:rPr>
        <w:t>in bombing Paraio</w:t>
      </w:r>
      <w:r w:rsidR="0016100F" w:rsidRPr="00F33937">
        <w:rPr>
          <w:rFonts w:ascii="Times New Roman" w:hAnsi="Times New Roman" w:cs="Times New Roman"/>
          <w:sz w:val="24"/>
          <w:szCs w:val="24"/>
        </w:rPr>
        <w:t>,</w:t>
      </w:r>
      <w:r w:rsidR="00374E7B" w:rsidRPr="00F33937">
        <w:rPr>
          <w:rFonts w:ascii="Times New Roman" w:hAnsi="Times New Roman" w:cs="Times New Roman"/>
          <w:sz w:val="24"/>
          <w:szCs w:val="24"/>
        </w:rPr>
        <w:t xml:space="preserve"> has evidenced a shirking of responsibility</w:t>
      </w:r>
      <w:r w:rsidR="005218AE" w:rsidRPr="00F33937">
        <w:rPr>
          <w:rFonts w:ascii="Times New Roman" w:hAnsi="Times New Roman" w:cs="Times New Roman"/>
          <w:sz w:val="24"/>
          <w:szCs w:val="24"/>
        </w:rPr>
        <w:t xml:space="preserve"> to make</w:t>
      </w:r>
      <w:r w:rsidR="00A017A8">
        <w:rPr>
          <w:rFonts w:ascii="Times New Roman" w:hAnsi="Times New Roman" w:cs="Times New Roman"/>
          <w:sz w:val="24"/>
          <w:szCs w:val="24"/>
        </w:rPr>
        <w:t xml:space="preserve"> a distinction between military-</w:t>
      </w:r>
      <w:r w:rsidR="005218AE" w:rsidRPr="00F33937">
        <w:rPr>
          <w:rFonts w:ascii="Times New Roman" w:hAnsi="Times New Roman" w:cs="Times New Roman"/>
          <w:sz w:val="24"/>
          <w:szCs w:val="24"/>
        </w:rPr>
        <w:t xml:space="preserve">targeted </w:t>
      </w:r>
      <w:r w:rsidR="00BD2FCB">
        <w:rPr>
          <w:rFonts w:ascii="Times New Roman" w:hAnsi="Times New Roman" w:cs="Times New Roman"/>
          <w:sz w:val="24"/>
          <w:szCs w:val="24"/>
        </w:rPr>
        <w:t xml:space="preserve">persons and </w:t>
      </w:r>
      <w:r w:rsidR="0016100F" w:rsidRPr="00F33937">
        <w:rPr>
          <w:rFonts w:ascii="Times New Roman" w:hAnsi="Times New Roman" w:cs="Times New Roman"/>
          <w:sz w:val="24"/>
          <w:szCs w:val="24"/>
        </w:rPr>
        <w:t>civilians</w:t>
      </w:r>
      <w:r w:rsidR="004A2350" w:rsidRPr="00F33937">
        <w:rPr>
          <w:rFonts w:ascii="Times New Roman" w:hAnsi="Times New Roman" w:cs="Times New Roman"/>
          <w:sz w:val="24"/>
        </w:rPr>
        <w:t>.</w:t>
      </w:r>
      <w:r w:rsidR="0016100F" w:rsidRPr="00F33937">
        <w:rPr>
          <w:rFonts w:ascii="Times New Roman" w:hAnsi="Times New Roman" w:cs="Times New Roman"/>
          <w:sz w:val="24"/>
        </w:rPr>
        <w:t xml:space="preserve">  Its propaganda </w:t>
      </w:r>
      <w:r w:rsidR="00397BFE">
        <w:rPr>
          <w:rFonts w:ascii="Times New Roman" w:hAnsi="Times New Roman" w:cs="Times New Roman"/>
          <w:sz w:val="24"/>
        </w:rPr>
        <w:t>made on regional grounds encourages</w:t>
      </w:r>
      <w:r w:rsidR="0016100F" w:rsidRPr="00F33937">
        <w:rPr>
          <w:rFonts w:ascii="Times New Roman" w:hAnsi="Times New Roman" w:cs="Times New Roman"/>
          <w:sz w:val="24"/>
        </w:rPr>
        <w:t xml:space="preserve"> continued violence </w:t>
      </w:r>
      <w:r w:rsidR="000752F3">
        <w:rPr>
          <w:rFonts w:ascii="Times New Roman" w:hAnsi="Times New Roman" w:cs="Times New Roman"/>
          <w:sz w:val="24"/>
        </w:rPr>
        <w:t>up</w:t>
      </w:r>
      <w:r w:rsidR="0016100F" w:rsidRPr="00F33937">
        <w:rPr>
          <w:rFonts w:ascii="Times New Roman" w:hAnsi="Times New Roman" w:cs="Times New Roman"/>
          <w:sz w:val="24"/>
        </w:rPr>
        <w:t>on enmeshed residents of secessionist-occupied regions</w:t>
      </w:r>
      <w:r w:rsidR="00397BFE">
        <w:rPr>
          <w:rFonts w:ascii="Times New Roman" w:hAnsi="Times New Roman" w:cs="Times New Roman"/>
          <w:sz w:val="24"/>
        </w:rPr>
        <w:t>.  Protected persons cannot be, according to international law, targeted on any grounds, including regional</w:t>
      </w:r>
      <w:r w:rsidR="000752F3">
        <w:rPr>
          <w:rFonts w:ascii="Times New Roman" w:hAnsi="Times New Roman" w:cs="Times New Roman"/>
          <w:sz w:val="24"/>
        </w:rPr>
        <w:t xml:space="preserve"> ones</w:t>
      </w:r>
      <w:r w:rsidR="00397BFE">
        <w:rPr>
          <w:rFonts w:ascii="Times New Roman" w:hAnsi="Times New Roman" w:cs="Times New Roman"/>
          <w:sz w:val="24"/>
        </w:rPr>
        <w:t>.</w:t>
      </w:r>
      <w:r w:rsidR="00397BFE">
        <w:rPr>
          <w:rStyle w:val="FootnoteReference"/>
          <w:rFonts w:ascii="Times New Roman" w:hAnsi="Times New Roman" w:cs="Times New Roman"/>
          <w:sz w:val="24"/>
        </w:rPr>
        <w:footnoteReference w:id="148"/>
      </w:r>
      <w:r w:rsidR="00397BFE">
        <w:rPr>
          <w:rFonts w:ascii="Times New Roman" w:hAnsi="Times New Roman" w:cs="Times New Roman"/>
          <w:sz w:val="24"/>
        </w:rPr>
        <w:t xml:space="preserve"> </w:t>
      </w:r>
    </w:p>
    <w:p w14:paraId="434AC35E" w14:textId="4A8DFD92" w:rsidR="004438F6" w:rsidRDefault="000752F3" w:rsidP="004438F6">
      <w:pPr>
        <w:spacing w:line="480" w:lineRule="auto"/>
        <w:contextualSpacing/>
        <w:rPr>
          <w:rFonts w:ascii="Times New Roman" w:hAnsi="Times New Roman" w:cs="Times New Roman"/>
          <w:sz w:val="24"/>
        </w:rPr>
      </w:pPr>
      <w:r>
        <w:rPr>
          <w:rFonts w:ascii="Times New Roman" w:hAnsi="Times New Roman" w:cs="Times New Roman"/>
          <w:sz w:val="24"/>
          <w:szCs w:val="24"/>
        </w:rPr>
        <w:lastRenderedPageBreak/>
        <w:tab/>
      </w:r>
      <w:r w:rsidR="004438F6" w:rsidRPr="00F33937">
        <w:rPr>
          <w:rFonts w:ascii="Times New Roman" w:hAnsi="Times New Roman" w:cs="Times New Roman"/>
          <w:sz w:val="24"/>
          <w:szCs w:val="24"/>
        </w:rPr>
        <w:t>Under Article 13 of the ACHR, States Parties committing offenses</w:t>
      </w:r>
      <w:r w:rsidR="004438F6" w:rsidRPr="00F33937">
        <w:rPr>
          <w:rFonts w:ascii="Times New Roman" w:hAnsi="Times New Roman" w:cs="Times New Roman"/>
          <w:sz w:val="24"/>
        </w:rPr>
        <w:t xml:space="preserve"> of targeting groups in propaganda for war will be considered punishable by law.  </w:t>
      </w:r>
      <w:r w:rsidR="00E42361" w:rsidRPr="00F33937">
        <w:rPr>
          <w:rFonts w:ascii="Times New Roman" w:hAnsi="Times New Roman" w:cs="Times New Roman"/>
          <w:sz w:val="24"/>
        </w:rPr>
        <w:t>The January 19, 2018</w:t>
      </w:r>
      <w:r>
        <w:rPr>
          <w:rFonts w:ascii="Times New Roman" w:hAnsi="Times New Roman" w:cs="Times New Roman"/>
          <w:sz w:val="24"/>
        </w:rPr>
        <w:t xml:space="preserve"> actions of the State show that, </w:t>
      </w:r>
      <w:r w:rsidR="00E42361" w:rsidRPr="00F33937">
        <w:rPr>
          <w:rFonts w:ascii="Times New Roman" w:hAnsi="Times New Roman" w:cs="Times New Roman"/>
          <w:sz w:val="24"/>
        </w:rPr>
        <w:t xml:space="preserve">despite its responsibility </w:t>
      </w:r>
      <w:r w:rsidR="004438F6" w:rsidRPr="00F33937">
        <w:rPr>
          <w:rFonts w:ascii="Times New Roman" w:hAnsi="Times New Roman" w:cs="Times New Roman"/>
          <w:sz w:val="24"/>
        </w:rPr>
        <w:t xml:space="preserve">to protect citizens from unfair targeting of military </w:t>
      </w:r>
      <w:r>
        <w:rPr>
          <w:rFonts w:ascii="Times New Roman" w:hAnsi="Times New Roman" w:cs="Times New Roman"/>
          <w:sz w:val="24"/>
        </w:rPr>
        <w:t xml:space="preserve">action, </w:t>
      </w:r>
      <w:r w:rsidR="002C37E6" w:rsidRPr="00F33937">
        <w:rPr>
          <w:rFonts w:ascii="Times New Roman" w:hAnsi="Times New Roman" w:cs="Times New Roman"/>
          <w:sz w:val="24"/>
        </w:rPr>
        <w:t>the State</w:t>
      </w:r>
      <w:r w:rsidR="0016100F" w:rsidRPr="00F33937">
        <w:rPr>
          <w:rFonts w:ascii="Times New Roman" w:hAnsi="Times New Roman" w:cs="Times New Roman"/>
          <w:sz w:val="24"/>
        </w:rPr>
        <w:t>, via</w:t>
      </w:r>
      <w:r>
        <w:rPr>
          <w:rFonts w:ascii="Times New Roman" w:hAnsi="Times New Roman" w:cs="Times New Roman"/>
          <w:sz w:val="24"/>
        </w:rPr>
        <w:t xml:space="preserve"> threatening</w:t>
      </w:r>
      <w:r w:rsidR="0016100F" w:rsidRPr="00F33937">
        <w:rPr>
          <w:rFonts w:ascii="Times New Roman" w:hAnsi="Times New Roman" w:cs="Times New Roman"/>
          <w:sz w:val="24"/>
        </w:rPr>
        <w:t xml:space="preserve"> propaganda,</w:t>
      </w:r>
      <w:r>
        <w:rPr>
          <w:rFonts w:ascii="Times New Roman" w:hAnsi="Times New Roman" w:cs="Times New Roman"/>
          <w:sz w:val="24"/>
        </w:rPr>
        <w:t xml:space="preserve"> violated</w:t>
      </w:r>
      <w:r w:rsidR="00E41CAE" w:rsidRPr="00F33937">
        <w:rPr>
          <w:rFonts w:ascii="Times New Roman" w:hAnsi="Times New Roman" w:cs="Times New Roman"/>
          <w:sz w:val="24"/>
        </w:rPr>
        <w:t xml:space="preserve"> Petitioners’ </w:t>
      </w:r>
      <w:r w:rsidR="00E42361" w:rsidRPr="00F33937">
        <w:rPr>
          <w:rFonts w:ascii="Times New Roman" w:hAnsi="Times New Roman" w:cs="Times New Roman"/>
          <w:sz w:val="24"/>
        </w:rPr>
        <w:t xml:space="preserve">Article 13 </w:t>
      </w:r>
      <w:r w:rsidR="00E41CAE" w:rsidRPr="00F33937">
        <w:rPr>
          <w:rFonts w:ascii="Times New Roman" w:hAnsi="Times New Roman" w:cs="Times New Roman"/>
          <w:sz w:val="24"/>
        </w:rPr>
        <w:t>rights.</w:t>
      </w:r>
    </w:p>
    <w:p w14:paraId="713F8D02" w14:textId="77777777" w:rsidR="000329D1" w:rsidRPr="00F33937" w:rsidRDefault="000329D1" w:rsidP="004438F6">
      <w:pPr>
        <w:spacing w:line="480" w:lineRule="auto"/>
        <w:contextualSpacing/>
        <w:rPr>
          <w:rFonts w:ascii="Times New Roman" w:hAnsi="Times New Roman" w:cs="Times New Roman"/>
          <w:sz w:val="24"/>
        </w:rPr>
      </w:pPr>
    </w:p>
    <w:p w14:paraId="086B66F8" w14:textId="7C22C2A9" w:rsidR="00D5471F" w:rsidRPr="00F33937" w:rsidRDefault="00AF6C89" w:rsidP="00FE2CDD">
      <w:pPr>
        <w:spacing w:line="480" w:lineRule="auto"/>
        <w:contextualSpacing/>
        <w:rPr>
          <w:rFonts w:ascii="Times New Roman" w:hAnsi="Times New Roman" w:cs="Times New Roman"/>
          <w:sz w:val="24"/>
          <w:szCs w:val="24"/>
        </w:rPr>
      </w:pPr>
      <w:r w:rsidRPr="00F33937">
        <w:rPr>
          <w:rFonts w:ascii="Times New Roman" w:hAnsi="Times New Roman" w:cs="Times New Roman"/>
          <w:b/>
          <w:i/>
          <w:sz w:val="24"/>
          <w:szCs w:val="24"/>
        </w:rPr>
        <w:t>3</w:t>
      </w:r>
      <w:r w:rsidR="00A313EF" w:rsidRPr="00F33937">
        <w:rPr>
          <w:rFonts w:ascii="Times New Roman" w:hAnsi="Times New Roman" w:cs="Times New Roman"/>
          <w:b/>
          <w:i/>
          <w:sz w:val="24"/>
          <w:szCs w:val="24"/>
        </w:rPr>
        <w:t>.6</w:t>
      </w:r>
      <w:r w:rsidR="00981563" w:rsidRPr="00F33937">
        <w:rPr>
          <w:rFonts w:ascii="Times New Roman" w:hAnsi="Times New Roman" w:cs="Times New Roman"/>
          <w:b/>
          <w:i/>
          <w:sz w:val="24"/>
          <w:szCs w:val="24"/>
        </w:rPr>
        <w:t xml:space="preserve"> – FREEDOM OF ASSOCIATION</w:t>
      </w:r>
      <w:r w:rsidR="00D95575" w:rsidRPr="00F33937">
        <w:rPr>
          <w:rFonts w:ascii="Times New Roman" w:hAnsi="Times New Roman" w:cs="Times New Roman"/>
          <w:b/>
          <w:i/>
          <w:sz w:val="24"/>
          <w:szCs w:val="24"/>
        </w:rPr>
        <w:t xml:space="preserve"> </w:t>
      </w:r>
    </w:p>
    <w:p w14:paraId="1B59FDDB" w14:textId="2925B21F" w:rsidR="00D5471F" w:rsidRPr="00F33937" w:rsidRDefault="00CB08D1" w:rsidP="008825C0">
      <w:pPr>
        <w:spacing w:after="0"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Despite de Facto Admission of Fault</w:t>
      </w:r>
      <w:r w:rsidR="00D95575" w:rsidRPr="00F33937">
        <w:rPr>
          <w:rFonts w:ascii="Times New Roman" w:hAnsi="Times New Roman" w:cs="Times New Roman"/>
          <w:b/>
          <w:i/>
          <w:sz w:val="24"/>
          <w:szCs w:val="24"/>
        </w:rPr>
        <w:t xml:space="preserve">, </w:t>
      </w:r>
      <w:r w:rsidRPr="00F33937">
        <w:rPr>
          <w:rFonts w:ascii="Times New Roman" w:hAnsi="Times New Roman" w:cs="Times New Roman"/>
          <w:b/>
          <w:i/>
          <w:sz w:val="24"/>
          <w:szCs w:val="24"/>
        </w:rPr>
        <w:t>t</w:t>
      </w:r>
      <w:r w:rsidR="00981563" w:rsidRPr="00F33937">
        <w:rPr>
          <w:rFonts w:ascii="Times New Roman" w:hAnsi="Times New Roman" w:cs="Times New Roman"/>
          <w:b/>
          <w:i/>
          <w:sz w:val="24"/>
          <w:szCs w:val="24"/>
        </w:rPr>
        <w:t xml:space="preserve">he State </w:t>
      </w:r>
      <w:r w:rsidR="007C3EBC" w:rsidRPr="00F33937">
        <w:rPr>
          <w:rFonts w:ascii="Times New Roman" w:hAnsi="Times New Roman" w:cs="Times New Roman"/>
          <w:b/>
          <w:i/>
          <w:sz w:val="24"/>
          <w:szCs w:val="24"/>
        </w:rPr>
        <w:t>Performed Selective Restitution</w:t>
      </w:r>
    </w:p>
    <w:p w14:paraId="656EE915" w14:textId="5BAC4559" w:rsidR="003E0AB0" w:rsidRPr="00F33937" w:rsidRDefault="004714E3" w:rsidP="003E0AB0">
      <w:pPr>
        <w:spacing w:after="0" w:line="480" w:lineRule="auto"/>
        <w:contextualSpacing/>
        <w:rPr>
          <w:rFonts w:ascii="Times New Roman" w:hAnsi="Times New Roman" w:cs="Times New Roman"/>
          <w:sz w:val="24"/>
          <w:szCs w:val="24"/>
        </w:rPr>
      </w:pPr>
      <w:r w:rsidRPr="00F33937">
        <w:rPr>
          <w:rFonts w:ascii="Times New Roman" w:hAnsi="Times New Roman" w:cs="Times New Roman"/>
          <w:b/>
          <w:i/>
          <w:sz w:val="24"/>
          <w:szCs w:val="24"/>
        </w:rPr>
        <w:tab/>
      </w:r>
      <w:r w:rsidR="00DF2B10">
        <w:rPr>
          <w:rFonts w:ascii="Times New Roman" w:hAnsi="Times New Roman" w:cs="Times New Roman"/>
          <w:sz w:val="24"/>
          <w:szCs w:val="24"/>
        </w:rPr>
        <w:t>Article 16</w:t>
      </w:r>
      <w:r w:rsidR="007C3EBC" w:rsidRPr="00F33937">
        <w:rPr>
          <w:rFonts w:ascii="Times New Roman" w:hAnsi="Times New Roman" w:cs="Times New Roman"/>
          <w:sz w:val="24"/>
          <w:szCs w:val="24"/>
        </w:rPr>
        <w:t xml:space="preserve"> of the ACHR states, “Everyone has the right to associate freely for ideological, religious, political, economic, labor, social, cultural, sports, or other purposes.</w:t>
      </w:r>
      <w:r w:rsidR="003D628C" w:rsidRPr="00F33937">
        <w:rPr>
          <w:rFonts w:ascii="Times New Roman" w:hAnsi="Times New Roman" w:cs="Times New Roman"/>
          <w:sz w:val="24"/>
          <w:szCs w:val="24"/>
        </w:rPr>
        <w:t xml:space="preserve">  The exercise of this right shall be subject </w:t>
      </w:r>
      <w:r w:rsidR="009A5E7B" w:rsidRPr="00F33937">
        <w:rPr>
          <w:rFonts w:ascii="Times New Roman" w:hAnsi="Times New Roman" w:cs="Times New Roman"/>
          <w:sz w:val="24"/>
          <w:szCs w:val="24"/>
        </w:rPr>
        <w:t>only to such restrictions estab</w:t>
      </w:r>
      <w:r w:rsidR="003D628C" w:rsidRPr="00F33937">
        <w:rPr>
          <w:rFonts w:ascii="Times New Roman" w:hAnsi="Times New Roman" w:cs="Times New Roman"/>
          <w:sz w:val="24"/>
          <w:szCs w:val="24"/>
        </w:rPr>
        <w:t>lis</w:t>
      </w:r>
      <w:r w:rsidR="009A5E7B" w:rsidRPr="00F33937">
        <w:rPr>
          <w:rFonts w:ascii="Times New Roman" w:hAnsi="Times New Roman" w:cs="Times New Roman"/>
          <w:sz w:val="24"/>
          <w:szCs w:val="24"/>
        </w:rPr>
        <w:t>hed by law as ma</w:t>
      </w:r>
      <w:r w:rsidR="003D628C" w:rsidRPr="00F33937">
        <w:rPr>
          <w:rFonts w:ascii="Times New Roman" w:hAnsi="Times New Roman" w:cs="Times New Roman"/>
          <w:sz w:val="24"/>
          <w:szCs w:val="24"/>
        </w:rPr>
        <w:t xml:space="preserve">y be </w:t>
      </w:r>
      <w:r w:rsidR="009A5E7B" w:rsidRPr="00F33937">
        <w:rPr>
          <w:rFonts w:ascii="Times New Roman" w:hAnsi="Times New Roman" w:cs="Times New Roman"/>
          <w:sz w:val="24"/>
          <w:szCs w:val="24"/>
        </w:rPr>
        <w:t>n</w:t>
      </w:r>
      <w:r w:rsidR="003D628C" w:rsidRPr="00F33937">
        <w:rPr>
          <w:rFonts w:ascii="Times New Roman" w:hAnsi="Times New Roman" w:cs="Times New Roman"/>
          <w:sz w:val="24"/>
          <w:szCs w:val="24"/>
        </w:rPr>
        <w:t>ecessary in a democratic society, in the interest of national security, public safety or public order, or to protect public health or morals or the rights and freedoms of others.</w:t>
      </w:r>
      <w:r w:rsidR="007C3EBC" w:rsidRPr="00F33937">
        <w:rPr>
          <w:rFonts w:ascii="Times New Roman" w:hAnsi="Times New Roman" w:cs="Times New Roman"/>
          <w:sz w:val="24"/>
          <w:szCs w:val="24"/>
        </w:rPr>
        <w:t>”</w:t>
      </w:r>
      <w:r w:rsidR="007C3EBC" w:rsidRPr="00F33937">
        <w:rPr>
          <w:rStyle w:val="FootnoteReference"/>
          <w:rFonts w:ascii="Times New Roman" w:hAnsi="Times New Roman" w:cs="Times New Roman"/>
          <w:sz w:val="24"/>
          <w:szCs w:val="24"/>
        </w:rPr>
        <w:footnoteReference w:id="149"/>
      </w:r>
      <w:r w:rsidR="003D628C" w:rsidRPr="00F33937">
        <w:rPr>
          <w:rFonts w:ascii="Times New Roman" w:hAnsi="Times New Roman" w:cs="Times New Roman"/>
          <w:sz w:val="24"/>
          <w:szCs w:val="24"/>
        </w:rPr>
        <w:t>,</w:t>
      </w:r>
      <w:r w:rsidR="003D628C" w:rsidRPr="00F33937">
        <w:rPr>
          <w:rStyle w:val="FootnoteReference"/>
          <w:rFonts w:ascii="Times New Roman" w:hAnsi="Times New Roman" w:cs="Times New Roman"/>
          <w:sz w:val="24"/>
          <w:szCs w:val="24"/>
        </w:rPr>
        <w:footnoteReference w:id="150"/>
      </w:r>
      <w:r w:rsidR="007C3EBC" w:rsidRPr="00F33937">
        <w:rPr>
          <w:rFonts w:ascii="Times New Roman" w:hAnsi="Times New Roman" w:cs="Times New Roman"/>
          <w:sz w:val="24"/>
          <w:szCs w:val="24"/>
        </w:rPr>
        <w:t xml:space="preserve"> </w:t>
      </w:r>
      <w:r w:rsidR="00E60BB2" w:rsidRPr="00F33937">
        <w:rPr>
          <w:rFonts w:ascii="Times New Roman" w:hAnsi="Times New Roman" w:cs="Times New Roman"/>
          <w:sz w:val="24"/>
          <w:szCs w:val="24"/>
        </w:rPr>
        <w:t xml:space="preserve"> </w:t>
      </w:r>
      <w:r w:rsidR="003E0AB0" w:rsidRPr="00F33937">
        <w:rPr>
          <w:rFonts w:ascii="Times New Roman" w:hAnsi="Times New Roman" w:cs="Times New Roman"/>
          <w:sz w:val="24"/>
          <w:szCs w:val="24"/>
        </w:rPr>
        <w:t>Petitioners are guaranteed the freedom of association, and they exercised that freedom by ass</w:t>
      </w:r>
      <w:r w:rsidR="001C7B56" w:rsidRPr="00F33937">
        <w:rPr>
          <w:rFonts w:ascii="Times New Roman" w:hAnsi="Times New Roman" w:cs="Times New Roman"/>
          <w:sz w:val="24"/>
          <w:szCs w:val="24"/>
        </w:rPr>
        <w:t>ociating for reasons familial.</w:t>
      </w:r>
    </w:p>
    <w:p w14:paraId="7E8F741B" w14:textId="6A2621FF" w:rsidR="003F48CF" w:rsidRPr="00F33937" w:rsidRDefault="003E0AB0" w:rsidP="008825C0">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9A5E7B" w:rsidRPr="00F33937">
        <w:rPr>
          <w:rFonts w:ascii="Times New Roman" w:hAnsi="Times New Roman" w:cs="Times New Roman"/>
          <w:sz w:val="24"/>
          <w:szCs w:val="24"/>
        </w:rPr>
        <w:t xml:space="preserve">The </w:t>
      </w:r>
      <w:r w:rsidR="00862E4C" w:rsidRPr="00F33937">
        <w:rPr>
          <w:rFonts w:ascii="Times New Roman" w:hAnsi="Times New Roman" w:cs="Times New Roman"/>
          <w:sz w:val="24"/>
          <w:szCs w:val="24"/>
        </w:rPr>
        <w:t>Republic of</w:t>
      </w:r>
      <w:r w:rsidR="00DA7A8D" w:rsidRPr="00F33937">
        <w:rPr>
          <w:rFonts w:ascii="Times New Roman" w:hAnsi="Times New Roman" w:cs="Times New Roman"/>
          <w:sz w:val="24"/>
          <w:szCs w:val="24"/>
        </w:rPr>
        <w:t xml:space="preserve"> Charechia violated Petitioners’ freedom of a</w:t>
      </w:r>
      <w:r w:rsidR="00862E4C" w:rsidRPr="00F33937">
        <w:rPr>
          <w:rFonts w:ascii="Times New Roman" w:hAnsi="Times New Roman" w:cs="Times New Roman"/>
          <w:sz w:val="24"/>
          <w:szCs w:val="24"/>
        </w:rPr>
        <w:t>ssociation, because despite previous convicti</w:t>
      </w:r>
      <w:r w:rsidR="003F48CF" w:rsidRPr="00F33937">
        <w:rPr>
          <w:rFonts w:ascii="Times New Roman" w:hAnsi="Times New Roman" w:cs="Times New Roman"/>
          <w:sz w:val="24"/>
          <w:szCs w:val="24"/>
        </w:rPr>
        <w:t>on</w:t>
      </w:r>
      <w:r w:rsidR="00C64336">
        <w:rPr>
          <w:rFonts w:ascii="Times New Roman" w:hAnsi="Times New Roman" w:cs="Times New Roman"/>
          <w:sz w:val="24"/>
          <w:szCs w:val="24"/>
        </w:rPr>
        <w:t>s</w:t>
      </w:r>
      <w:r w:rsidR="00862E4C" w:rsidRPr="00F33937">
        <w:rPr>
          <w:rFonts w:ascii="Times New Roman" w:hAnsi="Times New Roman" w:cs="Times New Roman"/>
          <w:sz w:val="24"/>
          <w:szCs w:val="24"/>
        </w:rPr>
        <w:t xml:space="preserve"> under Charechian law,</w:t>
      </w:r>
      <w:r w:rsidR="00A74637" w:rsidRPr="00F33937">
        <w:rPr>
          <w:rStyle w:val="FootnoteReference"/>
          <w:rFonts w:ascii="Times New Roman" w:hAnsi="Times New Roman" w:cs="Times New Roman"/>
          <w:sz w:val="24"/>
          <w:szCs w:val="24"/>
        </w:rPr>
        <w:footnoteReference w:id="151"/>
      </w:r>
      <w:r w:rsidR="00862E4C" w:rsidRPr="00F33937">
        <w:rPr>
          <w:rFonts w:ascii="Times New Roman" w:hAnsi="Times New Roman" w:cs="Times New Roman"/>
          <w:sz w:val="24"/>
          <w:szCs w:val="24"/>
        </w:rPr>
        <w:t xml:space="preserve"> the Petitioners still retained their right to associate fre</w:t>
      </w:r>
      <w:r w:rsidR="0048773F" w:rsidRPr="00F33937">
        <w:rPr>
          <w:rFonts w:ascii="Times New Roman" w:hAnsi="Times New Roman" w:cs="Times New Roman"/>
          <w:sz w:val="24"/>
          <w:szCs w:val="24"/>
        </w:rPr>
        <w:t>ely with</w:t>
      </w:r>
      <w:r w:rsidR="00BD0A7C" w:rsidRPr="00F33937">
        <w:rPr>
          <w:rFonts w:ascii="Times New Roman" w:hAnsi="Times New Roman" w:cs="Times New Roman"/>
          <w:sz w:val="24"/>
          <w:szCs w:val="24"/>
        </w:rPr>
        <w:t xml:space="preserve"> convict relatives (for instance with Mr. </w:t>
      </w:r>
      <w:r w:rsidR="0048773F" w:rsidRPr="00F33937">
        <w:rPr>
          <w:rFonts w:ascii="Times New Roman" w:hAnsi="Times New Roman" w:cs="Times New Roman"/>
          <w:sz w:val="24"/>
          <w:szCs w:val="24"/>
        </w:rPr>
        <w:t>Claudio Ancho</w:t>
      </w:r>
      <w:r w:rsidR="00BD0A7C" w:rsidRPr="00F33937">
        <w:rPr>
          <w:rFonts w:ascii="Times New Roman" w:hAnsi="Times New Roman" w:cs="Times New Roman"/>
          <w:sz w:val="24"/>
          <w:szCs w:val="24"/>
        </w:rPr>
        <w:t>)</w:t>
      </w:r>
      <w:r w:rsidR="00862E4C" w:rsidRPr="00F33937">
        <w:rPr>
          <w:rFonts w:ascii="Times New Roman" w:hAnsi="Times New Roman" w:cs="Times New Roman"/>
          <w:sz w:val="24"/>
          <w:szCs w:val="24"/>
        </w:rPr>
        <w:t>.</w:t>
      </w:r>
      <w:r w:rsidR="00BA50EB" w:rsidRPr="00F33937">
        <w:rPr>
          <w:rFonts w:ascii="Times New Roman" w:hAnsi="Times New Roman" w:cs="Times New Roman"/>
          <w:sz w:val="24"/>
          <w:szCs w:val="24"/>
        </w:rPr>
        <w:t xml:space="preserve">  While the provisions </w:t>
      </w:r>
      <w:r w:rsidR="00FD09DE" w:rsidRPr="00F33937">
        <w:rPr>
          <w:rFonts w:ascii="Times New Roman" w:hAnsi="Times New Roman" w:cs="Times New Roman"/>
          <w:sz w:val="24"/>
          <w:szCs w:val="24"/>
        </w:rPr>
        <w:t>of the article permit for restri</w:t>
      </w:r>
      <w:r w:rsidR="00BA50EB" w:rsidRPr="00F33937">
        <w:rPr>
          <w:rFonts w:ascii="Times New Roman" w:hAnsi="Times New Roman" w:cs="Times New Roman"/>
          <w:sz w:val="24"/>
          <w:szCs w:val="24"/>
        </w:rPr>
        <w:t>ctions “in the interest of national security, public safety or public order,”</w:t>
      </w:r>
      <w:r w:rsidR="00BA50EB" w:rsidRPr="00F33937">
        <w:rPr>
          <w:rStyle w:val="FootnoteReference"/>
          <w:rFonts w:ascii="Times New Roman" w:hAnsi="Times New Roman" w:cs="Times New Roman"/>
          <w:sz w:val="24"/>
          <w:szCs w:val="24"/>
        </w:rPr>
        <w:footnoteReference w:id="152"/>
      </w:r>
      <w:r w:rsidR="0008650F" w:rsidRPr="00F33937">
        <w:rPr>
          <w:rFonts w:ascii="Times New Roman" w:hAnsi="Times New Roman" w:cs="Times New Roman"/>
          <w:sz w:val="24"/>
          <w:szCs w:val="24"/>
        </w:rPr>
        <w:t xml:space="preserve"> the certain guilt of </w:t>
      </w:r>
      <w:r w:rsidR="0048773F" w:rsidRPr="00F33937">
        <w:rPr>
          <w:rFonts w:ascii="Times New Roman" w:hAnsi="Times New Roman" w:cs="Times New Roman"/>
          <w:sz w:val="24"/>
          <w:szCs w:val="24"/>
        </w:rPr>
        <w:t>Mr. Ancho</w:t>
      </w:r>
      <w:r w:rsidR="0008650F" w:rsidRPr="00F33937">
        <w:rPr>
          <w:rFonts w:ascii="Times New Roman" w:hAnsi="Times New Roman" w:cs="Times New Roman"/>
          <w:sz w:val="24"/>
          <w:szCs w:val="24"/>
        </w:rPr>
        <w:t xml:space="preserve"> is unclear.</w:t>
      </w:r>
      <w:r w:rsidR="003F48CF" w:rsidRPr="00F33937">
        <w:rPr>
          <w:rFonts w:ascii="Times New Roman" w:hAnsi="Times New Roman" w:cs="Times New Roman"/>
          <w:sz w:val="24"/>
          <w:szCs w:val="24"/>
        </w:rPr>
        <w:t xml:space="preserve">  </w:t>
      </w:r>
      <w:r w:rsidR="004A07B7" w:rsidRPr="00F33937">
        <w:rPr>
          <w:rFonts w:ascii="Times New Roman" w:hAnsi="Times New Roman" w:cs="Times New Roman"/>
          <w:sz w:val="24"/>
          <w:szCs w:val="24"/>
        </w:rPr>
        <w:t>Before his death at P</w:t>
      </w:r>
      <w:r w:rsidR="00C64336">
        <w:rPr>
          <w:rFonts w:ascii="Times New Roman" w:hAnsi="Times New Roman" w:cs="Times New Roman"/>
          <w:sz w:val="24"/>
          <w:szCs w:val="24"/>
        </w:rPr>
        <w:t xml:space="preserve">araio, the decedent </w:t>
      </w:r>
      <w:r w:rsidR="00930C3B" w:rsidRPr="00F33937">
        <w:rPr>
          <w:rFonts w:ascii="Times New Roman" w:hAnsi="Times New Roman" w:cs="Times New Roman"/>
          <w:sz w:val="24"/>
          <w:szCs w:val="24"/>
        </w:rPr>
        <w:t xml:space="preserve">testified of having no </w:t>
      </w:r>
      <w:r w:rsidR="003F48CF" w:rsidRPr="00F33937">
        <w:rPr>
          <w:rFonts w:ascii="Times New Roman" w:hAnsi="Times New Roman" w:cs="Times New Roman"/>
          <w:sz w:val="24"/>
          <w:szCs w:val="24"/>
        </w:rPr>
        <w:t xml:space="preserve">knowledge </w:t>
      </w:r>
      <w:r w:rsidR="009A5E7B" w:rsidRPr="00F33937">
        <w:rPr>
          <w:rFonts w:ascii="Times New Roman" w:hAnsi="Times New Roman" w:cs="Times New Roman"/>
          <w:sz w:val="24"/>
          <w:szCs w:val="24"/>
        </w:rPr>
        <w:t xml:space="preserve">of </w:t>
      </w:r>
      <w:r w:rsidR="003F48CF" w:rsidRPr="00F33937">
        <w:rPr>
          <w:rFonts w:ascii="Times New Roman" w:hAnsi="Times New Roman" w:cs="Times New Roman"/>
          <w:sz w:val="24"/>
          <w:szCs w:val="24"/>
        </w:rPr>
        <w:t>his temporary house guests’</w:t>
      </w:r>
      <w:r w:rsidR="002079F3">
        <w:rPr>
          <w:rFonts w:ascii="Times New Roman" w:hAnsi="Times New Roman" w:cs="Times New Roman"/>
          <w:sz w:val="24"/>
          <w:szCs w:val="24"/>
        </w:rPr>
        <w:t xml:space="preserve"> criminal and/</w:t>
      </w:r>
      <w:r w:rsidR="009A5E7B" w:rsidRPr="00F33937">
        <w:rPr>
          <w:rFonts w:ascii="Times New Roman" w:hAnsi="Times New Roman" w:cs="Times New Roman"/>
          <w:sz w:val="24"/>
          <w:szCs w:val="24"/>
        </w:rPr>
        <w:t>or</w:t>
      </w:r>
      <w:r w:rsidR="003F48CF" w:rsidRPr="00F33937">
        <w:rPr>
          <w:rFonts w:ascii="Times New Roman" w:hAnsi="Times New Roman" w:cs="Times New Roman"/>
          <w:sz w:val="24"/>
          <w:szCs w:val="24"/>
        </w:rPr>
        <w:t xml:space="preserve"> anti-govern</w:t>
      </w:r>
      <w:r w:rsidR="00930C3B" w:rsidRPr="00F33937">
        <w:rPr>
          <w:rFonts w:ascii="Times New Roman" w:hAnsi="Times New Roman" w:cs="Times New Roman"/>
          <w:sz w:val="24"/>
          <w:szCs w:val="24"/>
        </w:rPr>
        <w:t xml:space="preserve">ment </w:t>
      </w:r>
      <w:r w:rsidR="00930C3B" w:rsidRPr="00F33937">
        <w:rPr>
          <w:rFonts w:ascii="Times New Roman" w:hAnsi="Times New Roman" w:cs="Times New Roman"/>
          <w:sz w:val="24"/>
          <w:szCs w:val="24"/>
        </w:rPr>
        <w:lastRenderedPageBreak/>
        <w:t>activity.  Th</w:t>
      </w:r>
      <w:r w:rsidR="00DA7A8D" w:rsidRPr="00F33937">
        <w:rPr>
          <w:rFonts w:ascii="Times New Roman" w:hAnsi="Times New Roman" w:cs="Times New Roman"/>
          <w:sz w:val="24"/>
          <w:szCs w:val="24"/>
        </w:rPr>
        <w:t>e house guests were his cousins,</w:t>
      </w:r>
      <w:r w:rsidR="00930C3B" w:rsidRPr="00F33937">
        <w:rPr>
          <w:rStyle w:val="FootnoteReference"/>
          <w:rFonts w:ascii="Times New Roman" w:hAnsi="Times New Roman" w:cs="Times New Roman"/>
          <w:sz w:val="24"/>
          <w:szCs w:val="24"/>
        </w:rPr>
        <w:footnoteReference w:id="153"/>
      </w:r>
      <w:r w:rsidR="00DA7A8D" w:rsidRPr="00F33937">
        <w:rPr>
          <w:rFonts w:ascii="Times New Roman" w:hAnsi="Times New Roman" w:cs="Times New Roman"/>
          <w:sz w:val="24"/>
          <w:szCs w:val="24"/>
        </w:rPr>
        <w:t xml:space="preserve"> therefore Ancho’s motive for shelte</w:t>
      </w:r>
      <w:r w:rsidR="00C64336">
        <w:rPr>
          <w:rFonts w:ascii="Times New Roman" w:hAnsi="Times New Roman" w:cs="Times New Roman"/>
          <w:sz w:val="24"/>
          <w:szCs w:val="24"/>
        </w:rPr>
        <w:t>ring them may have been familial</w:t>
      </w:r>
      <w:r w:rsidR="00DA7A8D" w:rsidRPr="00F33937">
        <w:rPr>
          <w:rFonts w:ascii="Times New Roman" w:hAnsi="Times New Roman" w:cs="Times New Roman"/>
          <w:sz w:val="24"/>
          <w:szCs w:val="24"/>
        </w:rPr>
        <w:t>.</w:t>
      </w:r>
      <w:r w:rsidR="00930C3B" w:rsidRPr="00F33937">
        <w:rPr>
          <w:rFonts w:ascii="Times New Roman" w:hAnsi="Times New Roman" w:cs="Times New Roman"/>
          <w:sz w:val="24"/>
          <w:szCs w:val="24"/>
        </w:rPr>
        <w:t xml:space="preserve">  </w:t>
      </w:r>
      <w:r w:rsidR="003F48CF" w:rsidRPr="00F33937">
        <w:rPr>
          <w:rFonts w:ascii="Times New Roman" w:hAnsi="Times New Roman" w:cs="Times New Roman"/>
          <w:sz w:val="24"/>
          <w:szCs w:val="24"/>
        </w:rPr>
        <w:t xml:space="preserve"> </w:t>
      </w:r>
    </w:p>
    <w:p w14:paraId="13925691" w14:textId="2F4D352D" w:rsidR="00862E4C" w:rsidRPr="00F33937" w:rsidRDefault="003D4421" w:rsidP="008825C0">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 xml:space="preserve">The case surrounding Manuel Poblano is less certain.  </w:t>
      </w:r>
      <w:r w:rsidR="0048773F" w:rsidRPr="00F33937">
        <w:rPr>
          <w:rFonts w:ascii="Times New Roman" w:hAnsi="Times New Roman" w:cs="Times New Roman"/>
          <w:sz w:val="24"/>
          <w:szCs w:val="24"/>
        </w:rPr>
        <w:t>While admitting to having “close personal</w:t>
      </w:r>
      <w:r w:rsidR="00ED5383">
        <w:rPr>
          <w:rFonts w:ascii="Times New Roman" w:hAnsi="Times New Roman" w:cs="Times New Roman"/>
          <w:sz w:val="24"/>
          <w:szCs w:val="24"/>
        </w:rPr>
        <w:t xml:space="preserve"> ties” to Shield operatives and,</w:t>
      </w:r>
      <w:r w:rsidRPr="00F33937">
        <w:rPr>
          <w:rFonts w:ascii="Times New Roman" w:hAnsi="Times New Roman" w:cs="Times New Roman"/>
          <w:sz w:val="24"/>
          <w:szCs w:val="24"/>
        </w:rPr>
        <w:t xml:space="preserve"> </w:t>
      </w:r>
      <w:r w:rsidR="0048773F" w:rsidRPr="00F33937">
        <w:rPr>
          <w:rFonts w:ascii="Times New Roman" w:hAnsi="Times New Roman" w:cs="Times New Roman"/>
          <w:sz w:val="24"/>
          <w:szCs w:val="24"/>
        </w:rPr>
        <w:t>politically</w:t>
      </w:r>
      <w:r w:rsidR="00ED5383">
        <w:rPr>
          <w:rFonts w:ascii="Times New Roman" w:hAnsi="Times New Roman" w:cs="Times New Roman"/>
          <w:sz w:val="24"/>
          <w:szCs w:val="24"/>
        </w:rPr>
        <w:t>, aligning with a portion</w:t>
      </w:r>
      <w:r w:rsidR="0048773F" w:rsidRPr="00F33937">
        <w:rPr>
          <w:rFonts w:ascii="Times New Roman" w:hAnsi="Times New Roman" w:cs="Times New Roman"/>
          <w:sz w:val="24"/>
          <w:szCs w:val="24"/>
        </w:rPr>
        <w:t xml:space="preserve"> of the group’s beliefs,</w:t>
      </w:r>
      <w:r w:rsidR="0048773F" w:rsidRPr="00F33937">
        <w:rPr>
          <w:rStyle w:val="FootnoteReference"/>
          <w:rFonts w:ascii="Times New Roman" w:hAnsi="Times New Roman" w:cs="Times New Roman"/>
          <w:sz w:val="24"/>
          <w:szCs w:val="24"/>
        </w:rPr>
        <w:footnoteReference w:id="154"/>
      </w:r>
      <w:r w:rsidRPr="00F33937">
        <w:rPr>
          <w:rFonts w:ascii="Times New Roman" w:hAnsi="Times New Roman" w:cs="Times New Roman"/>
          <w:sz w:val="24"/>
          <w:szCs w:val="24"/>
        </w:rPr>
        <w:t xml:space="preserve"> </w:t>
      </w:r>
      <w:r w:rsidR="004D0769" w:rsidRPr="00F33937">
        <w:rPr>
          <w:rFonts w:ascii="Times New Roman" w:hAnsi="Times New Roman" w:cs="Times New Roman"/>
          <w:sz w:val="24"/>
          <w:szCs w:val="24"/>
        </w:rPr>
        <w:t>Mr. Poblano was, at the time of his death, engaged in appealing</w:t>
      </w:r>
      <w:r w:rsidR="004D0769" w:rsidRPr="00F33937">
        <w:rPr>
          <w:rStyle w:val="FootnoteReference"/>
          <w:rFonts w:ascii="Times New Roman" w:hAnsi="Times New Roman" w:cs="Times New Roman"/>
          <w:sz w:val="24"/>
          <w:szCs w:val="24"/>
        </w:rPr>
        <w:footnoteReference w:id="155"/>
      </w:r>
      <w:r w:rsidR="004D0769" w:rsidRPr="00F33937">
        <w:rPr>
          <w:rFonts w:ascii="Times New Roman" w:hAnsi="Times New Roman" w:cs="Times New Roman"/>
          <w:sz w:val="24"/>
          <w:szCs w:val="24"/>
        </w:rPr>
        <w:t xml:space="preserve"> his organized sabotage conviction.</w:t>
      </w:r>
      <w:r w:rsidR="004D0769" w:rsidRPr="00F33937">
        <w:rPr>
          <w:rStyle w:val="FootnoteReference"/>
          <w:rFonts w:ascii="Times New Roman" w:hAnsi="Times New Roman" w:cs="Times New Roman"/>
          <w:sz w:val="24"/>
          <w:szCs w:val="24"/>
        </w:rPr>
        <w:footnoteReference w:id="156"/>
      </w:r>
      <w:r w:rsidR="004D0769" w:rsidRPr="00F33937">
        <w:rPr>
          <w:rFonts w:ascii="Times New Roman" w:hAnsi="Times New Roman" w:cs="Times New Roman"/>
          <w:sz w:val="24"/>
          <w:szCs w:val="24"/>
        </w:rPr>
        <w:t xml:space="preserve">  </w:t>
      </w:r>
      <w:r w:rsidR="00ED32E7" w:rsidRPr="00F33937">
        <w:rPr>
          <w:rFonts w:ascii="Times New Roman" w:hAnsi="Times New Roman" w:cs="Times New Roman"/>
          <w:sz w:val="24"/>
          <w:szCs w:val="24"/>
        </w:rPr>
        <w:t xml:space="preserve">Because the nature of his conviction involves endangering munitions and his </w:t>
      </w:r>
      <w:r w:rsidR="00F42007" w:rsidRPr="00F33937">
        <w:rPr>
          <w:rFonts w:ascii="Times New Roman" w:hAnsi="Times New Roman" w:cs="Times New Roman"/>
          <w:sz w:val="24"/>
          <w:szCs w:val="24"/>
        </w:rPr>
        <w:t xml:space="preserve">court </w:t>
      </w:r>
      <w:r w:rsidR="00ED32E7" w:rsidRPr="00F33937">
        <w:rPr>
          <w:rFonts w:ascii="Times New Roman" w:hAnsi="Times New Roman" w:cs="Times New Roman"/>
          <w:sz w:val="24"/>
          <w:szCs w:val="24"/>
        </w:rPr>
        <w:t xml:space="preserve">testimony </w:t>
      </w:r>
      <w:r w:rsidR="00B25DC5" w:rsidRPr="00F33937">
        <w:rPr>
          <w:rFonts w:ascii="Times New Roman" w:hAnsi="Times New Roman" w:cs="Times New Roman"/>
          <w:sz w:val="24"/>
          <w:szCs w:val="24"/>
        </w:rPr>
        <w:t xml:space="preserve">admitted his </w:t>
      </w:r>
      <w:r w:rsidR="00ED32E7" w:rsidRPr="00F33937">
        <w:rPr>
          <w:rFonts w:ascii="Times New Roman" w:hAnsi="Times New Roman" w:cs="Times New Roman"/>
          <w:sz w:val="24"/>
          <w:szCs w:val="24"/>
        </w:rPr>
        <w:t xml:space="preserve">Shield sympathies, </w:t>
      </w:r>
      <w:r w:rsidR="00DA7A8D" w:rsidRPr="00F33937">
        <w:rPr>
          <w:rFonts w:ascii="Times New Roman" w:hAnsi="Times New Roman" w:cs="Times New Roman"/>
          <w:sz w:val="24"/>
          <w:szCs w:val="24"/>
        </w:rPr>
        <w:t xml:space="preserve">with regard to Mr. Poblano </w:t>
      </w:r>
      <w:r w:rsidR="00BF5BD2" w:rsidRPr="00F33937">
        <w:rPr>
          <w:rFonts w:ascii="Times New Roman" w:hAnsi="Times New Roman" w:cs="Times New Roman"/>
          <w:sz w:val="24"/>
          <w:szCs w:val="24"/>
        </w:rPr>
        <w:t xml:space="preserve">Petitioners are less willing to allege </w:t>
      </w:r>
      <w:r w:rsidR="00F42007" w:rsidRPr="00F33937">
        <w:rPr>
          <w:rFonts w:ascii="Times New Roman" w:hAnsi="Times New Roman" w:cs="Times New Roman"/>
          <w:sz w:val="24"/>
          <w:szCs w:val="24"/>
        </w:rPr>
        <w:t>A</w:t>
      </w:r>
      <w:r w:rsidR="00BF5BD2" w:rsidRPr="00F33937">
        <w:rPr>
          <w:rFonts w:ascii="Times New Roman" w:hAnsi="Times New Roman" w:cs="Times New Roman"/>
          <w:sz w:val="24"/>
          <w:szCs w:val="24"/>
        </w:rPr>
        <w:t xml:space="preserve">ssociation violation under the </w:t>
      </w:r>
      <w:r w:rsidR="00F90946" w:rsidRPr="00F33937">
        <w:rPr>
          <w:rFonts w:ascii="Times New Roman" w:hAnsi="Times New Roman" w:cs="Times New Roman"/>
          <w:sz w:val="24"/>
          <w:szCs w:val="24"/>
        </w:rPr>
        <w:t>framework of this</w:t>
      </w:r>
      <w:r w:rsidR="0034499D" w:rsidRPr="00F33937">
        <w:rPr>
          <w:rFonts w:ascii="Times New Roman" w:hAnsi="Times New Roman" w:cs="Times New Roman"/>
          <w:sz w:val="24"/>
          <w:szCs w:val="24"/>
        </w:rPr>
        <w:t xml:space="preserve"> Article’s Section 2.</w:t>
      </w:r>
      <w:r w:rsidR="00F42007" w:rsidRPr="00F33937">
        <w:rPr>
          <w:rFonts w:ascii="Times New Roman" w:hAnsi="Times New Roman" w:cs="Times New Roman"/>
          <w:sz w:val="24"/>
          <w:szCs w:val="24"/>
        </w:rPr>
        <w:t xml:space="preserve">  </w:t>
      </w:r>
    </w:p>
    <w:p w14:paraId="56DDD81C" w14:textId="7B265B71" w:rsidR="00862E4C" w:rsidRPr="00F33937" w:rsidRDefault="003E0AB0" w:rsidP="008825C0">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On the subject of restitution, however, the Court has made plain that identification of victims includes</w:t>
      </w:r>
      <w:r w:rsidR="00F608F9" w:rsidRPr="00F33937">
        <w:rPr>
          <w:rFonts w:ascii="Times New Roman" w:hAnsi="Times New Roman" w:cs="Times New Roman"/>
          <w:sz w:val="24"/>
          <w:szCs w:val="24"/>
        </w:rPr>
        <w:t>, as with</w:t>
      </w:r>
      <w:r w:rsidRPr="00F33937">
        <w:rPr>
          <w:rFonts w:ascii="Times New Roman" w:hAnsi="Times New Roman" w:cs="Times New Roman"/>
          <w:sz w:val="24"/>
          <w:szCs w:val="24"/>
        </w:rPr>
        <w:t xml:space="preserve"> instances of Article 5.1 violation</w:t>
      </w:r>
      <w:r w:rsidR="00ED5383">
        <w:rPr>
          <w:rFonts w:ascii="Times New Roman" w:hAnsi="Times New Roman" w:cs="Times New Roman"/>
          <w:sz w:val="24"/>
          <w:szCs w:val="24"/>
        </w:rPr>
        <w:t>s</w:t>
      </w:r>
      <w:r w:rsidRPr="00F33937">
        <w:rPr>
          <w:rFonts w:ascii="Times New Roman" w:hAnsi="Times New Roman" w:cs="Times New Roman"/>
          <w:sz w:val="24"/>
          <w:szCs w:val="24"/>
        </w:rPr>
        <w:t xml:space="preserve"> of integrity, the directly-injured party’s next-of-kin.</w:t>
      </w:r>
      <w:r w:rsidR="00BF7A32" w:rsidRPr="00F33937">
        <w:rPr>
          <w:rStyle w:val="FootnoteReference"/>
          <w:rFonts w:ascii="Times New Roman" w:hAnsi="Times New Roman" w:cs="Times New Roman"/>
          <w:sz w:val="24"/>
          <w:szCs w:val="24"/>
        </w:rPr>
        <w:footnoteReference w:id="157"/>
      </w:r>
      <w:r w:rsidRPr="00F33937">
        <w:rPr>
          <w:rFonts w:ascii="Times New Roman" w:hAnsi="Times New Roman" w:cs="Times New Roman"/>
          <w:sz w:val="24"/>
          <w:szCs w:val="24"/>
        </w:rPr>
        <w:t xml:space="preserve">  </w:t>
      </w:r>
      <w:r w:rsidR="00862E4C" w:rsidRPr="00F33937">
        <w:rPr>
          <w:rFonts w:ascii="Times New Roman" w:hAnsi="Times New Roman" w:cs="Times New Roman"/>
          <w:sz w:val="24"/>
          <w:szCs w:val="24"/>
        </w:rPr>
        <w:t xml:space="preserve">Of the three families, the Guajillos </w:t>
      </w:r>
      <w:r w:rsidR="00ED5383">
        <w:rPr>
          <w:rFonts w:ascii="Times New Roman" w:hAnsi="Times New Roman" w:cs="Times New Roman"/>
          <w:sz w:val="24"/>
          <w:szCs w:val="24"/>
        </w:rPr>
        <w:t>(</w:t>
      </w:r>
      <w:r w:rsidR="00862E4C" w:rsidRPr="00F33937">
        <w:rPr>
          <w:rFonts w:ascii="Times New Roman" w:hAnsi="Times New Roman" w:cs="Times New Roman"/>
          <w:sz w:val="24"/>
          <w:szCs w:val="24"/>
        </w:rPr>
        <w:t>who lost four relatives in the Paraio bombing</w:t>
      </w:r>
      <w:r w:rsidR="00ED5383">
        <w:rPr>
          <w:rFonts w:ascii="Times New Roman" w:hAnsi="Times New Roman" w:cs="Times New Roman"/>
          <w:sz w:val="24"/>
          <w:szCs w:val="24"/>
        </w:rPr>
        <w:t>)</w:t>
      </w:r>
      <w:r w:rsidR="00862E4C" w:rsidRPr="00F33937">
        <w:rPr>
          <w:rFonts w:ascii="Times New Roman" w:hAnsi="Times New Roman" w:cs="Times New Roman"/>
          <w:sz w:val="24"/>
          <w:szCs w:val="24"/>
        </w:rPr>
        <w:t xml:space="preserve"> were without Shield of the North ties; at their appeal in whic</w:t>
      </w:r>
      <w:r w:rsidR="00A43576" w:rsidRPr="00F33937">
        <w:rPr>
          <w:rFonts w:ascii="Times New Roman" w:hAnsi="Times New Roman" w:cs="Times New Roman"/>
          <w:sz w:val="24"/>
          <w:szCs w:val="24"/>
        </w:rPr>
        <w:t xml:space="preserve">h </w:t>
      </w:r>
      <w:r w:rsidR="00C44FF8" w:rsidRPr="00F33937">
        <w:rPr>
          <w:rFonts w:ascii="Times New Roman" w:hAnsi="Times New Roman" w:cs="Times New Roman"/>
          <w:sz w:val="24"/>
          <w:szCs w:val="24"/>
        </w:rPr>
        <w:t xml:space="preserve">the State pronounced Paraio deaths </w:t>
      </w:r>
      <w:r w:rsidR="00862E4C" w:rsidRPr="00F33937">
        <w:rPr>
          <w:rFonts w:ascii="Times New Roman" w:hAnsi="Times New Roman" w:cs="Times New Roman"/>
          <w:sz w:val="24"/>
          <w:szCs w:val="24"/>
        </w:rPr>
        <w:t>“collateral casualties,</w:t>
      </w:r>
      <w:r w:rsidR="00A43576" w:rsidRPr="00F33937">
        <w:rPr>
          <w:rFonts w:ascii="Times New Roman" w:hAnsi="Times New Roman" w:cs="Times New Roman"/>
          <w:sz w:val="24"/>
          <w:szCs w:val="24"/>
        </w:rPr>
        <w:t>”</w:t>
      </w:r>
      <w:r w:rsidR="00A43576" w:rsidRPr="00F33937">
        <w:rPr>
          <w:rStyle w:val="FootnoteReference"/>
          <w:rFonts w:ascii="Times New Roman" w:hAnsi="Times New Roman" w:cs="Times New Roman"/>
          <w:sz w:val="24"/>
          <w:szCs w:val="24"/>
        </w:rPr>
        <w:footnoteReference w:id="158"/>
      </w:r>
      <w:r w:rsidR="00F976B0" w:rsidRPr="00F33937">
        <w:rPr>
          <w:rFonts w:ascii="Times New Roman" w:hAnsi="Times New Roman" w:cs="Times New Roman"/>
          <w:sz w:val="24"/>
          <w:szCs w:val="24"/>
        </w:rPr>
        <w:t xml:space="preserve"> </w:t>
      </w:r>
      <w:r w:rsidR="00862E4C" w:rsidRPr="00F33937">
        <w:rPr>
          <w:rFonts w:ascii="Times New Roman" w:hAnsi="Times New Roman" w:cs="Times New Roman"/>
          <w:sz w:val="24"/>
          <w:szCs w:val="24"/>
        </w:rPr>
        <w:t>Charechia’s Supreme Court awarded them $75,000 in damages</w:t>
      </w:r>
      <w:r w:rsidR="007F40B8" w:rsidRPr="00F33937">
        <w:rPr>
          <w:rFonts w:ascii="Times New Roman" w:hAnsi="Times New Roman" w:cs="Times New Roman"/>
          <w:sz w:val="24"/>
          <w:szCs w:val="24"/>
        </w:rPr>
        <w:t xml:space="preserve">. </w:t>
      </w:r>
      <w:r w:rsidR="005A7289">
        <w:rPr>
          <w:rFonts w:ascii="Times New Roman" w:hAnsi="Times New Roman" w:cs="Times New Roman"/>
          <w:sz w:val="24"/>
          <w:szCs w:val="24"/>
        </w:rPr>
        <w:t xml:space="preserve"> </w:t>
      </w:r>
      <w:r w:rsidR="00F90946" w:rsidRPr="00F33937">
        <w:rPr>
          <w:rFonts w:ascii="Times New Roman" w:hAnsi="Times New Roman" w:cs="Times New Roman"/>
          <w:sz w:val="24"/>
          <w:szCs w:val="24"/>
        </w:rPr>
        <w:t xml:space="preserve">This award </w:t>
      </w:r>
      <w:r w:rsidR="00F608F9" w:rsidRPr="00F33937">
        <w:rPr>
          <w:rFonts w:ascii="Times New Roman" w:hAnsi="Times New Roman" w:cs="Times New Roman"/>
          <w:sz w:val="24"/>
          <w:szCs w:val="24"/>
        </w:rPr>
        <w:t xml:space="preserve">of $75,000 </w:t>
      </w:r>
      <w:r w:rsidR="00F90946" w:rsidRPr="00F33937">
        <w:rPr>
          <w:rFonts w:ascii="Times New Roman" w:hAnsi="Times New Roman" w:cs="Times New Roman"/>
          <w:sz w:val="24"/>
          <w:szCs w:val="24"/>
        </w:rPr>
        <w:t>combined with the President’s $200,000 award</w:t>
      </w:r>
      <w:r w:rsidR="00DA7A8D" w:rsidRPr="00F33937">
        <w:rPr>
          <w:rFonts w:ascii="Times New Roman" w:hAnsi="Times New Roman" w:cs="Times New Roman"/>
          <w:sz w:val="24"/>
          <w:szCs w:val="24"/>
        </w:rPr>
        <w:t xml:space="preserve"> (granted the same month as the massacre)</w:t>
      </w:r>
      <w:r w:rsidR="00F90946" w:rsidRPr="00F33937">
        <w:rPr>
          <w:rFonts w:ascii="Times New Roman" w:hAnsi="Times New Roman" w:cs="Times New Roman"/>
          <w:sz w:val="24"/>
          <w:szCs w:val="24"/>
        </w:rPr>
        <w:t xml:space="preserve"> to</w:t>
      </w:r>
      <w:r w:rsidR="00E84C45" w:rsidRPr="00F33937">
        <w:rPr>
          <w:rFonts w:ascii="Times New Roman" w:hAnsi="Times New Roman" w:cs="Times New Roman"/>
          <w:sz w:val="24"/>
          <w:szCs w:val="24"/>
        </w:rPr>
        <w:t xml:space="preserve"> Shield-kidnapped</w:t>
      </w:r>
      <w:r w:rsidR="00F90946" w:rsidRPr="00F33937">
        <w:rPr>
          <w:rFonts w:ascii="Times New Roman" w:hAnsi="Times New Roman" w:cs="Times New Roman"/>
          <w:sz w:val="24"/>
          <w:szCs w:val="24"/>
        </w:rPr>
        <w:t xml:space="preserve"> indigenous farmers</w:t>
      </w:r>
      <w:r w:rsidR="00F90946" w:rsidRPr="00F33937">
        <w:rPr>
          <w:rStyle w:val="FootnoteReference"/>
          <w:rFonts w:ascii="Times New Roman" w:hAnsi="Times New Roman" w:cs="Times New Roman"/>
          <w:sz w:val="24"/>
          <w:szCs w:val="24"/>
        </w:rPr>
        <w:footnoteReference w:id="159"/>
      </w:r>
      <w:r w:rsidR="00594426" w:rsidRPr="00F33937">
        <w:rPr>
          <w:rFonts w:ascii="Times New Roman" w:hAnsi="Times New Roman" w:cs="Times New Roman"/>
          <w:sz w:val="24"/>
          <w:szCs w:val="24"/>
        </w:rPr>
        <w:t xml:space="preserve"> is evidence </w:t>
      </w:r>
      <w:r w:rsidR="00F90946" w:rsidRPr="00F33937">
        <w:rPr>
          <w:rFonts w:ascii="Times New Roman" w:hAnsi="Times New Roman" w:cs="Times New Roman"/>
          <w:sz w:val="24"/>
          <w:szCs w:val="24"/>
        </w:rPr>
        <w:t>the State believes compens</w:t>
      </w:r>
      <w:r w:rsidR="00E84C45" w:rsidRPr="00F33937">
        <w:rPr>
          <w:rFonts w:ascii="Times New Roman" w:hAnsi="Times New Roman" w:cs="Times New Roman"/>
          <w:sz w:val="24"/>
          <w:szCs w:val="24"/>
        </w:rPr>
        <w:t xml:space="preserve">ation is due to </w:t>
      </w:r>
      <w:r w:rsidR="00F90946" w:rsidRPr="00F33937">
        <w:rPr>
          <w:rFonts w:ascii="Times New Roman" w:hAnsi="Times New Roman" w:cs="Times New Roman"/>
          <w:sz w:val="24"/>
          <w:szCs w:val="24"/>
        </w:rPr>
        <w:t xml:space="preserve">families of the directly-injured.  </w:t>
      </w:r>
      <w:r w:rsidR="007F40B8" w:rsidRPr="00F33937">
        <w:rPr>
          <w:rFonts w:ascii="Times New Roman" w:hAnsi="Times New Roman" w:cs="Times New Roman"/>
          <w:sz w:val="24"/>
          <w:szCs w:val="24"/>
        </w:rPr>
        <w:t xml:space="preserve">The two other petitioning </w:t>
      </w:r>
      <w:r w:rsidR="00862E4C" w:rsidRPr="00F33937">
        <w:rPr>
          <w:rFonts w:ascii="Times New Roman" w:hAnsi="Times New Roman" w:cs="Times New Roman"/>
          <w:sz w:val="24"/>
          <w:szCs w:val="24"/>
        </w:rPr>
        <w:t>families</w:t>
      </w:r>
      <w:r w:rsidR="004058A1" w:rsidRPr="00F33937">
        <w:rPr>
          <w:rFonts w:ascii="Times New Roman" w:hAnsi="Times New Roman" w:cs="Times New Roman"/>
          <w:sz w:val="24"/>
          <w:szCs w:val="24"/>
        </w:rPr>
        <w:t xml:space="preserve"> also suffered, </w:t>
      </w:r>
      <w:r w:rsidR="00862E4C" w:rsidRPr="00F33937">
        <w:rPr>
          <w:rFonts w:ascii="Times New Roman" w:hAnsi="Times New Roman" w:cs="Times New Roman"/>
          <w:sz w:val="24"/>
          <w:szCs w:val="24"/>
        </w:rPr>
        <w:t>each</w:t>
      </w:r>
      <w:r w:rsidR="004058A1" w:rsidRPr="00F33937">
        <w:rPr>
          <w:rFonts w:ascii="Times New Roman" w:hAnsi="Times New Roman" w:cs="Times New Roman"/>
          <w:sz w:val="24"/>
          <w:szCs w:val="24"/>
        </w:rPr>
        <w:t>,</w:t>
      </w:r>
      <w:r w:rsidR="00862E4C" w:rsidRPr="00F33937">
        <w:rPr>
          <w:rFonts w:ascii="Times New Roman" w:hAnsi="Times New Roman" w:cs="Times New Roman"/>
          <w:sz w:val="24"/>
          <w:szCs w:val="24"/>
        </w:rPr>
        <w:t xml:space="preserve"> the deaths of multiple relatives, but despite experiencing tragedy identical </w:t>
      </w:r>
      <w:r w:rsidR="007F40B8" w:rsidRPr="00F33937">
        <w:rPr>
          <w:rFonts w:ascii="Times New Roman" w:hAnsi="Times New Roman" w:cs="Times New Roman"/>
          <w:sz w:val="24"/>
          <w:szCs w:val="24"/>
        </w:rPr>
        <w:t xml:space="preserve">in nature </w:t>
      </w:r>
      <w:r w:rsidR="00862E4C" w:rsidRPr="00F33937">
        <w:rPr>
          <w:rFonts w:ascii="Times New Roman" w:hAnsi="Times New Roman" w:cs="Times New Roman"/>
          <w:sz w:val="24"/>
          <w:szCs w:val="24"/>
        </w:rPr>
        <w:t>to the Guajillo</w:t>
      </w:r>
      <w:r w:rsidR="00F976B0" w:rsidRPr="00F33937">
        <w:rPr>
          <w:rFonts w:ascii="Times New Roman" w:hAnsi="Times New Roman" w:cs="Times New Roman"/>
          <w:sz w:val="24"/>
          <w:szCs w:val="24"/>
        </w:rPr>
        <w:t>s</w:t>
      </w:r>
      <w:r w:rsidR="007F40B8" w:rsidRPr="00F33937">
        <w:rPr>
          <w:rFonts w:ascii="Times New Roman" w:hAnsi="Times New Roman" w:cs="Times New Roman"/>
          <w:sz w:val="24"/>
          <w:szCs w:val="24"/>
        </w:rPr>
        <w:t>,</w:t>
      </w:r>
      <w:r w:rsidR="00077FD1" w:rsidRPr="00F33937">
        <w:rPr>
          <w:rFonts w:ascii="Times New Roman" w:hAnsi="Times New Roman" w:cs="Times New Roman"/>
          <w:sz w:val="24"/>
          <w:szCs w:val="24"/>
        </w:rPr>
        <w:t xml:space="preserve"> by the Supreme Court’s ruling t</w:t>
      </w:r>
      <w:r w:rsidR="007F40B8" w:rsidRPr="00F33937">
        <w:rPr>
          <w:rFonts w:ascii="Times New Roman" w:hAnsi="Times New Roman" w:cs="Times New Roman"/>
          <w:sz w:val="24"/>
          <w:szCs w:val="24"/>
        </w:rPr>
        <w:t xml:space="preserve">he Poblano and Ancho </w:t>
      </w:r>
      <w:r w:rsidR="00862E4C" w:rsidRPr="00F33937">
        <w:rPr>
          <w:rFonts w:ascii="Times New Roman" w:hAnsi="Times New Roman" w:cs="Times New Roman"/>
          <w:sz w:val="24"/>
          <w:szCs w:val="24"/>
        </w:rPr>
        <w:t>families “received no compensation”</w:t>
      </w:r>
      <w:r w:rsidR="00F976B0" w:rsidRPr="00F33937">
        <w:rPr>
          <w:rStyle w:val="FootnoteReference"/>
          <w:rFonts w:ascii="Times New Roman" w:hAnsi="Times New Roman" w:cs="Times New Roman"/>
          <w:sz w:val="24"/>
          <w:szCs w:val="24"/>
        </w:rPr>
        <w:footnoteReference w:id="160"/>
      </w:r>
      <w:r w:rsidR="004E7910" w:rsidRPr="00F33937">
        <w:rPr>
          <w:rFonts w:ascii="Times New Roman" w:hAnsi="Times New Roman" w:cs="Times New Roman"/>
          <w:sz w:val="24"/>
          <w:szCs w:val="24"/>
        </w:rPr>
        <w:t xml:space="preserve"> </w:t>
      </w:r>
      <w:r w:rsidR="00F831FC" w:rsidRPr="00F33937">
        <w:rPr>
          <w:rFonts w:ascii="Times New Roman" w:hAnsi="Times New Roman" w:cs="Times New Roman"/>
          <w:sz w:val="24"/>
          <w:szCs w:val="24"/>
        </w:rPr>
        <w:t xml:space="preserve">for loss of </w:t>
      </w:r>
      <w:r w:rsidR="004F0F63">
        <w:rPr>
          <w:rFonts w:ascii="Times New Roman" w:hAnsi="Times New Roman" w:cs="Times New Roman"/>
          <w:sz w:val="24"/>
          <w:szCs w:val="24"/>
        </w:rPr>
        <w:t xml:space="preserve">their </w:t>
      </w:r>
      <w:r w:rsidR="00F831FC" w:rsidRPr="00F33937">
        <w:rPr>
          <w:rFonts w:ascii="Times New Roman" w:hAnsi="Times New Roman" w:cs="Times New Roman"/>
          <w:sz w:val="24"/>
          <w:szCs w:val="24"/>
        </w:rPr>
        <w:t>lo</w:t>
      </w:r>
      <w:r w:rsidR="00077FD1" w:rsidRPr="00F33937">
        <w:rPr>
          <w:rFonts w:ascii="Times New Roman" w:hAnsi="Times New Roman" w:cs="Times New Roman"/>
          <w:sz w:val="24"/>
          <w:szCs w:val="24"/>
        </w:rPr>
        <w:t>ved ones.</w:t>
      </w:r>
      <w:r w:rsidR="00F831FC" w:rsidRPr="00F33937">
        <w:rPr>
          <w:rFonts w:ascii="Times New Roman" w:hAnsi="Times New Roman" w:cs="Times New Roman"/>
          <w:sz w:val="24"/>
          <w:szCs w:val="24"/>
        </w:rPr>
        <w:t xml:space="preserve"> </w:t>
      </w:r>
    </w:p>
    <w:p w14:paraId="7460FB95" w14:textId="4604EB65" w:rsidR="006B5F9B" w:rsidRPr="00F33937" w:rsidRDefault="002E28FF" w:rsidP="008825C0">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lastRenderedPageBreak/>
        <w:tab/>
      </w:r>
      <w:r w:rsidR="00862E4C" w:rsidRPr="00F33937">
        <w:rPr>
          <w:rFonts w:ascii="Times New Roman" w:hAnsi="Times New Roman" w:cs="Times New Roman"/>
          <w:sz w:val="24"/>
          <w:szCs w:val="24"/>
        </w:rPr>
        <w:t>When the State denied equitable compensation to all three petitioning families on the basis of bombing victims’</w:t>
      </w:r>
      <w:r w:rsidR="00CA299D" w:rsidRPr="00F33937">
        <w:rPr>
          <w:rFonts w:ascii="Times New Roman" w:hAnsi="Times New Roman" w:cs="Times New Roman"/>
          <w:sz w:val="24"/>
          <w:szCs w:val="24"/>
        </w:rPr>
        <w:t xml:space="preserve"> political</w:t>
      </w:r>
      <w:r w:rsidR="00862E4C" w:rsidRPr="00F33937">
        <w:rPr>
          <w:rFonts w:ascii="Times New Roman" w:hAnsi="Times New Roman" w:cs="Times New Roman"/>
          <w:sz w:val="24"/>
          <w:szCs w:val="24"/>
        </w:rPr>
        <w:t xml:space="preserve"> associations, it prized higher than human rights the decedents’ anti-</w:t>
      </w:r>
      <w:r w:rsidRPr="00F33937">
        <w:rPr>
          <w:rFonts w:ascii="Times New Roman" w:hAnsi="Times New Roman" w:cs="Times New Roman"/>
          <w:sz w:val="24"/>
          <w:szCs w:val="24"/>
        </w:rPr>
        <w:t>government connections, whether</w:t>
      </w:r>
      <w:r w:rsidR="005173EC" w:rsidRPr="00F33937">
        <w:rPr>
          <w:rFonts w:ascii="Times New Roman" w:hAnsi="Times New Roman" w:cs="Times New Roman"/>
          <w:sz w:val="24"/>
          <w:szCs w:val="24"/>
        </w:rPr>
        <w:t xml:space="preserve"> those connections were</w:t>
      </w:r>
      <w:r w:rsidRPr="00F33937">
        <w:rPr>
          <w:rFonts w:ascii="Times New Roman" w:hAnsi="Times New Roman" w:cs="Times New Roman"/>
          <w:sz w:val="24"/>
          <w:szCs w:val="24"/>
        </w:rPr>
        <w:t xml:space="preserve"> proven or presumed</w:t>
      </w:r>
      <w:r w:rsidR="00862E4C" w:rsidRPr="00F33937">
        <w:rPr>
          <w:rFonts w:ascii="Times New Roman" w:hAnsi="Times New Roman" w:cs="Times New Roman"/>
          <w:sz w:val="24"/>
          <w:szCs w:val="24"/>
        </w:rPr>
        <w:t>.</w:t>
      </w:r>
      <w:r w:rsidR="007F66A0" w:rsidRPr="00F33937">
        <w:rPr>
          <w:rStyle w:val="FootnoteReference"/>
          <w:rFonts w:ascii="Times New Roman" w:hAnsi="Times New Roman" w:cs="Times New Roman"/>
          <w:sz w:val="24"/>
          <w:szCs w:val="24"/>
        </w:rPr>
        <w:footnoteReference w:id="161"/>
      </w:r>
      <w:r w:rsidR="00862E4C" w:rsidRPr="00F33937">
        <w:rPr>
          <w:rFonts w:ascii="Times New Roman" w:hAnsi="Times New Roman" w:cs="Times New Roman"/>
          <w:sz w:val="24"/>
          <w:szCs w:val="24"/>
        </w:rPr>
        <w:t xml:space="preserve">  Therefore, the State</w:t>
      </w:r>
      <w:r w:rsidRPr="00F33937">
        <w:rPr>
          <w:rFonts w:ascii="Times New Roman" w:hAnsi="Times New Roman" w:cs="Times New Roman"/>
          <w:sz w:val="24"/>
          <w:szCs w:val="24"/>
        </w:rPr>
        <w:t>,</w:t>
      </w:r>
      <w:r w:rsidR="00862E4C" w:rsidRPr="00F33937">
        <w:rPr>
          <w:rFonts w:ascii="Times New Roman" w:hAnsi="Times New Roman" w:cs="Times New Roman"/>
          <w:sz w:val="24"/>
          <w:szCs w:val="24"/>
        </w:rPr>
        <w:t xml:space="preserve"> in denying </w:t>
      </w:r>
      <w:r w:rsidR="00A25734">
        <w:rPr>
          <w:rFonts w:ascii="Times New Roman" w:hAnsi="Times New Roman" w:cs="Times New Roman"/>
          <w:sz w:val="24"/>
          <w:szCs w:val="24"/>
        </w:rPr>
        <w:t>Petitioners</w:t>
      </w:r>
      <w:r w:rsidR="00862E4C" w:rsidRPr="00F33937">
        <w:rPr>
          <w:rFonts w:ascii="Times New Roman" w:hAnsi="Times New Roman" w:cs="Times New Roman"/>
          <w:sz w:val="24"/>
          <w:szCs w:val="24"/>
        </w:rPr>
        <w:t xml:space="preserve"> restitution via their domestic courts</w:t>
      </w:r>
      <w:r w:rsidRPr="00F33937">
        <w:rPr>
          <w:rFonts w:ascii="Times New Roman" w:hAnsi="Times New Roman" w:cs="Times New Roman"/>
          <w:sz w:val="24"/>
          <w:szCs w:val="24"/>
        </w:rPr>
        <w:t>,</w:t>
      </w:r>
      <w:r w:rsidR="00CA299D" w:rsidRPr="00F33937">
        <w:rPr>
          <w:rFonts w:ascii="Times New Roman" w:hAnsi="Times New Roman" w:cs="Times New Roman"/>
          <w:sz w:val="24"/>
          <w:szCs w:val="24"/>
        </w:rPr>
        <w:t xml:space="preserve"> prevented the Families from exhausting domestic remedies and</w:t>
      </w:r>
      <w:r w:rsidR="00A25734">
        <w:rPr>
          <w:rFonts w:ascii="Times New Roman" w:hAnsi="Times New Roman" w:cs="Times New Roman"/>
          <w:sz w:val="24"/>
          <w:szCs w:val="24"/>
        </w:rPr>
        <w:t xml:space="preserve"> punished them for associating with their relatives.</w:t>
      </w:r>
      <w:r w:rsidR="00862E4C" w:rsidRPr="00F33937">
        <w:rPr>
          <w:rFonts w:ascii="Times New Roman" w:hAnsi="Times New Roman" w:cs="Times New Roman"/>
          <w:sz w:val="24"/>
          <w:szCs w:val="24"/>
        </w:rPr>
        <w:t xml:space="preserve"> </w:t>
      </w:r>
      <w:r w:rsidR="00A25734">
        <w:rPr>
          <w:rFonts w:ascii="Times New Roman" w:hAnsi="Times New Roman" w:cs="Times New Roman"/>
          <w:sz w:val="24"/>
          <w:szCs w:val="24"/>
        </w:rPr>
        <w:t xml:space="preserve"> This </w:t>
      </w:r>
      <w:r w:rsidR="00CA299D" w:rsidRPr="00F33937">
        <w:rPr>
          <w:rFonts w:ascii="Times New Roman" w:hAnsi="Times New Roman" w:cs="Times New Roman"/>
          <w:sz w:val="24"/>
          <w:szCs w:val="24"/>
        </w:rPr>
        <w:t>violated their Article 16 rights.</w:t>
      </w:r>
    </w:p>
    <w:p w14:paraId="784F517F" w14:textId="77777777" w:rsidR="002646FF" w:rsidRPr="00F33937" w:rsidRDefault="002646FF" w:rsidP="008825C0">
      <w:pPr>
        <w:spacing w:after="0" w:line="480" w:lineRule="auto"/>
        <w:contextualSpacing/>
        <w:rPr>
          <w:rFonts w:ascii="Times New Roman" w:hAnsi="Times New Roman" w:cs="Times New Roman"/>
          <w:sz w:val="24"/>
          <w:szCs w:val="24"/>
        </w:rPr>
      </w:pPr>
    </w:p>
    <w:p w14:paraId="5D4FD64F" w14:textId="03DE1B40" w:rsidR="002646FF" w:rsidRPr="00F33937" w:rsidRDefault="00AF6C89" w:rsidP="002646FF">
      <w:pPr>
        <w:spacing w:after="0"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3</w:t>
      </w:r>
      <w:r w:rsidR="00A313EF" w:rsidRPr="00F33937">
        <w:rPr>
          <w:rFonts w:ascii="Times New Roman" w:hAnsi="Times New Roman" w:cs="Times New Roman"/>
          <w:b/>
          <w:i/>
          <w:sz w:val="24"/>
          <w:szCs w:val="24"/>
        </w:rPr>
        <w:t>.7</w:t>
      </w:r>
      <w:r w:rsidR="00A85683" w:rsidRPr="00F33937">
        <w:rPr>
          <w:rFonts w:ascii="Times New Roman" w:hAnsi="Times New Roman" w:cs="Times New Roman"/>
          <w:b/>
          <w:i/>
          <w:sz w:val="24"/>
          <w:szCs w:val="24"/>
        </w:rPr>
        <w:t xml:space="preserve"> – FREEDOM OF </w:t>
      </w:r>
      <w:r w:rsidR="002646FF" w:rsidRPr="00F33937">
        <w:rPr>
          <w:rFonts w:ascii="Times New Roman" w:hAnsi="Times New Roman" w:cs="Times New Roman"/>
          <w:b/>
          <w:i/>
          <w:sz w:val="24"/>
          <w:szCs w:val="24"/>
        </w:rPr>
        <w:t>MOVEMENT AND RESIDENCE</w:t>
      </w:r>
    </w:p>
    <w:p w14:paraId="010F74CB" w14:textId="7FB118FD" w:rsidR="00582903" w:rsidRPr="00F33937" w:rsidRDefault="00132874" w:rsidP="002646FF">
      <w:pPr>
        <w:spacing w:after="0"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The S</w:t>
      </w:r>
      <w:r w:rsidR="00B26876" w:rsidRPr="00F33937">
        <w:rPr>
          <w:rFonts w:ascii="Times New Roman" w:hAnsi="Times New Roman" w:cs="Times New Roman"/>
          <w:b/>
          <w:i/>
          <w:sz w:val="24"/>
          <w:szCs w:val="24"/>
        </w:rPr>
        <w:t>tate’s Military O</w:t>
      </w:r>
      <w:r w:rsidR="00BC5DEC" w:rsidRPr="00F33937">
        <w:rPr>
          <w:rFonts w:ascii="Times New Roman" w:hAnsi="Times New Roman" w:cs="Times New Roman"/>
          <w:b/>
          <w:i/>
          <w:sz w:val="24"/>
          <w:szCs w:val="24"/>
        </w:rPr>
        <w:t xml:space="preserve">perations </w:t>
      </w:r>
      <w:r w:rsidR="00B26876" w:rsidRPr="00F33937">
        <w:rPr>
          <w:rFonts w:ascii="Times New Roman" w:hAnsi="Times New Roman" w:cs="Times New Roman"/>
          <w:b/>
          <w:i/>
          <w:sz w:val="24"/>
          <w:szCs w:val="24"/>
        </w:rPr>
        <w:t>Limited Residents</w:t>
      </w:r>
    </w:p>
    <w:p w14:paraId="1898ED50" w14:textId="33B4AA85" w:rsidR="00106D3D" w:rsidRPr="00F33937" w:rsidRDefault="008C2353" w:rsidP="00E22F8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106D3D" w:rsidRPr="00F33937">
        <w:rPr>
          <w:rFonts w:ascii="Times New Roman" w:hAnsi="Times New Roman" w:cs="Times New Roman"/>
          <w:sz w:val="24"/>
          <w:szCs w:val="24"/>
        </w:rPr>
        <w:t xml:space="preserve">Article 22 of the American Convention on Human Rights states, “Every person lawfully in the territory of a State Party has the right to move about in it, and to reside in it subject to the provisions of the law.  </w:t>
      </w:r>
      <w:r w:rsidR="001D0EDD" w:rsidRPr="00F33937">
        <w:rPr>
          <w:rFonts w:ascii="Times New Roman" w:hAnsi="Times New Roman" w:cs="Times New Roman"/>
          <w:sz w:val="24"/>
          <w:szCs w:val="24"/>
        </w:rPr>
        <w:t>(</w:t>
      </w:r>
      <w:r w:rsidR="00106D3D" w:rsidRPr="00F33937">
        <w:rPr>
          <w:rFonts w:ascii="Times New Roman" w:hAnsi="Times New Roman" w:cs="Times New Roman"/>
          <w:sz w:val="24"/>
          <w:szCs w:val="24"/>
        </w:rPr>
        <w:t>Sections 3 and 4</w:t>
      </w:r>
      <w:r w:rsidR="001D0EDD" w:rsidRPr="00F33937">
        <w:rPr>
          <w:rFonts w:ascii="Times New Roman" w:hAnsi="Times New Roman" w:cs="Times New Roman"/>
          <w:sz w:val="24"/>
          <w:szCs w:val="24"/>
        </w:rPr>
        <w:t xml:space="preserve"> of this</w:t>
      </w:r>
      <w:r w:rsidRPr="00F33937">
        <w:rPr>
          <w:rFonts w:ascii="Times New Roman" w:hAnsi="Times New Roman" w:cs="Times New Roman"/>
          <w:sz w:val="24"/>
          <w:szCs w:val="24"/>
        </w:rPr>
        <w:t xml:space="preserve"> Article</w:t>
      </w:r>
      <w:r w:rsidR="00106D3D" w:rsidRPr="00F33937">
        <w:rPr>
          <w:rFonts w:ascii="Times New Roman" w:hAnsi="Times New Roman" w:cs="Times New Roman"/>
          <w:sz w:val="24"/>
          <w:szCs w:val="24"/>
        </w:rPr>
        <w:t xml:space="preserve"> </w:t>
      </w:r>
      <w:r w:rsidR="001D0EDD" w:rsidRPr="00F33937">
        <w:rPr>
          <w:rFonts w:ascii="Times New Roman" w:hAnsi="Times New Roman" w:cs="Times New Roman"/>
          <w:sz w:val="24"/>
          <w:szCs w:val="24"/>
        </w:rPr>
        <w:t xml:space="preserve">22 </w:t>
      </w:r>
      <w:r w:rsidR="00106D3D" w:rsidRPr="00F33937">
        <w:rPr>
          <w:rFonts w:ascii="Times New Roman" w:hAnsi="Times New Roman" w:cs="Times New Roman"/>
          <w:sz w:val="24"/>
          <w:szCs w:val="24"/>
        </w:rPr>
        <w:t xml:space="preserve">follow </w:t>
      </w:r>
      <w:r w:rsidR="001D0EDD" w:rsidRPr="00F33937">
        <w:rPr>
          <w:rFonts w:ascii="Times New Roman" w:hAnsi="Times New Roman" w:cs="Times New Roman"/>
          <w:sz w:val="24"/>
          <w:szCs w:val="24"/>
        </w:rPr>
        <w:t>its</w:t>
      </w:r>
      <w:r w:rsidR="00106D3D" w:rsidRPr="00F33937">
        <w:rPr>
          <w:rFonts w:ascii="Times New Roman" w:hAnsi="Times New Roman" w:cs="Times New Roman"/>
          <w:sz w:val="24"/>
          <w:szCs w:val="24"/>
        </w:rPr>
        <w:t xml:space="preserve"> opening assertion </w:t>
      </w:r>
      <w:r w:rsidR="00AD708E" w:rsidRPr="00F33937">
        <w:rPr>
          <w:rFonts w:ascii="Times New Roman" w:hAnsi="Times New Roman" w:cs="Times New Roman"/>
          <w:sz w:val="24"/>
          <w:szCs w:val="24"/>
        </w:rPr>
        <w:t xml:space="preserve">with identical </w:t>
      </w:r>
      <w:r w:rsidR="001D0EDD" w:rsidRPr="00F33937">
        <w:rPr>
          <w:rFonts w:ascii="Times New Roman" w:hAnsi="Times New Roman" w:cs="Times New Roman"/>
          <w:sz w:val="24"/>
          <w:szCs w:val="24"/>
        </w:rPr>
        <w:t>concerns</w:t>
      </w:r>
      <w:r w:rsidRPr="00F33937">
        <w:rPr>
          <w:rFonts w:ascii="Times New Roman" w:hAnsi="Times New Roman" w:cs="Times New Roman"/>
          <w:sz w:val="24"/>
          <w:szCs w:val="24"/>
        </w:rPr>
        <w:t xml:space="preserve"> </w:t>
      </w:r>
      <w:r w:rsidR="00AD708E" w:rsidRPr="00F33937">
        <w:rPr>
          <w:rFonts w:ascii="Times New Roman" w:hAnsi="Times New Roman" w:cs="Times New Roman"/>
          <w:sz w:val="24"/>
          <w:szCs w:val="24"/>
        </w:rPr>
        <w:t xml:space="preserve">previously-addressed </w:t>
      </w:r>
      <w:r w:rsidR="001D0EDD" w:rsidRPr="00F33937">
        <w:rPr>
          <w:rFonts w:ascii="Times New Roman" w:hAnsi="Times New Roman" w:cs="Times New Roman"/>
          <w:sz w:val="24"/>
          <w:szCs w:val="24"/>
        </w:rPr>
        <w:t xml:space="preserve">through </w:t>
      </w:r>
      <w:r w:rsidR="00AD708E" w:rsidRPr="00F33937">
        <w:rPr>
          <w:rFonts w:ascii="Times New Roman" w:hAnsi="Times New Roman" w:cs="Times New Roman"/>
          <w:sz w:val="24"/>
          <w:szCs w:val="24"/>
        </w:rPr>
        <w:t xml:space="preserve">Article </w:t>
      </w:r>
      <w:r w:rsidRPr="00F33937">
        <w:rPr>
          <w:rFonts w:ascii="Times New Roman" w:hAnsi="Times New Roman" w:cs="Times New Roman"/>
          <w:sz w:val="24"/>
          <w:szCs w:val="24"/>
        </w:rPr>
        <w:t>16, namely on the subject</w:t>
      </w:r>
      <w:r w:rsidR="000A0931" w:rsidRPr="00F33937">
        <w:rPr>
          <w:rFonts w:ascii="Times New Roman" w:hAnsi="Times New Roman" w:cs="Times New Roman"/>
          <w:sz w:val="24"/>
          <w:szCs w:val="24"/>
        </w:rPr>
        <w:t xml:space="preserve">s of </w:t>
      </w:r>
      <w:r w:rsidR="00AD708E" w:rsidRPr="00F33937">
        <w:rPr>
          <w:rFonts w:ascii="Times New Roman" w:hAnsi="Times New Roman" w:cs="Times New Roman"/>
          <w:sz w:val="24"/>
          <w:szCs w:val="24"/>
        </w:rPr>
        <w:t>public safety, prevention of crime, and national security.</w:t>
      </w:r>
      <w:r w:rsidR="001D0EDD" w:rsidRPr="00F33937">
        <w:rPr>
          <w:rFonts w:ascii="Times New Roman" w:hAnsi="Times New Roman" w:cs="Times New Roman"/>
          <w:sz w:val="24"/>
          <w:szCs w:val="24"/>
        </w:rPr>
        <w:t>)</w:t>
      </w:r>
      <w:r w:rsidR="00274AAC" w:rsidRPr="00F33937">
        <w:rPr>
          <w:rFonts w:ascii="Times New Roman" w:hAnsi="Times New Roman" w:cs="Times New Roman"/>
          <w:sz w:val="24"/>
          <w:szCs w:val="24"/>
        </w:rPr>
        <w:t xml:space="preserve">  </w:t>
      </w:r>
    </w:p>
    <w:p w14:paraId="25B828CC" w14:textId="1481EB15" w:rsidR="00497198" w:rsidRPr="00F33937" w:rsidRDefault="00031196" w:rsidP="00E22F8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Previou</w:t>
      </w:r>
      <w:r w:rsidR="00A10524" w:rsidRPr="00F33937">
        <w:rPr>
          <w:rFonts w:ascii="Times New Roman" w:hAnsi="Times New Roman" w:cs="Times New Roman"/>
          <w:sz w:val="24"/>
          <w:szCs w:val="24"/>
        </w:rPr>
        <w:t xml:space="preserve">s arguments under </w:t>
      </w:r>
      <w:r w:rsidR="00476EEE" w:rsidRPr="00F33937">
        <w:rPr>
          <w:rFonts w:ascii="Times New Roman" w:hAnsi="Times New Roman" w:cs="Times New Roman"/>
          <w:sz w:val="24"/>
          <w:szCs w:val="24"/>
        </w:rPr>
        <w:t xml:space="preserve">Article </w:t>
      </w:r>
      <w:r w:rsidR="00A10524" w:rsidRPr="00F33937">
        <w:rPr>
          <w:rFonts w:ascii="Times New Roman" w:hAnsi="Times New Roman" w:cs="Times New Roman"/>
          <w:sz w:val="24"/>
          <w:szCs w:val="24"/>
        </w:rPr>
        <w:t>7</w:t>
      </w:r>
      <w:r w:rsidR="00476EEE" w:rsidRPr="00F33937">
        <w:rPr>
          <w:rFonts w:ascii="Times New Roman" w:hAnsi="Times New Roman" w:cs="Times New Roman"/>
          <w:sz w:val="24"/>
          <w:szCs w:val="24"/>
        </w:rPr>
        <w:t xml:space="preserve"> </w:t>
      </w:r>
      <w:r w:rsidRPr="00F33937">
        <w:rPr>
          <w:rFonts w:ascii="Times New Roman" w:hAnsi="Times New Roman" w:cs="Times New Roman"/>
          <w:sz w:val="24"/>
          <w:szCs w:val="24"/>
        </w:rPr>
        <w:t>speak to the special relationship</w:t>
      </w:r>
      <w:r w:rsidR="00314281">
        <w:rPr>
          <w:rFonts w:ascii="Times New Roman" w:hAnsi="Times New Roman" w:cs="Times New Roman"/>
          <w:sz w:val="24"/>
          <w:szCs w:val="24"/>
        </w:rPr>
        <w:t xml:space="preserve"> an</w:t>
      </w:r>
      <w:r w:rsidRPr="00F33937">
        <w:rPr>
          <w:rFonts w:ascii="Times New Roman" w:hAnsi="Times New Roman" w:cs="Times New Roman"/>
          <w:sz w:val="24"/>
          <w:szCs w:val="24"/>
        </w:rPr>
        <w:t xml:space="preserve"> indigenous people</w:t>
      </w:r>
      <w:r w:rsidR="00314281">
        <w:rPr>
          <w:rFonts w:ascii="Times New Roman" w:hAnsi="Times New Roman" w:cs="Times New Roman"/>
          <w:sz w:val="24"/>
          <w:szCs w:val="24"/>
        </w:rPr>
        <w:t xml:space="preserve"> has</w:t>
      </w:r>
      <w:r w:rsidR="002519CE" w:rsidRPr="00F33937">
        <w:rPr>
          <w:rFonts w:ascii="Times New Roman" w:hAnsi="Times New Roman" w:cs="Times New Roman"/>
          <w:sz w:val="24"/>
          <w:szCs w:val="24"/>
        </w:rPr>
        <w:t xml:space="preserve"> with their</w:t>
      </w:r>
      <w:r w:rsidRPr="00F33937">
        <w:rPr>
          <w:rFonts w:ascii="Times New Roman" w:hAnsi="Times New Roman" w:cs="Times New Roman"/>
          <w:sz w:val="24"/>
          <w:szCs w:val="24"/>
        </w:rPr>
        <w:t xml:space="preserve"> land; their ancestra</w:t>
      </w:r>
      <w:r w:rsidR="00314281">
        <w:rPr>
          <w:rFonts w:ascii="Times New Roman" w:hAnsi="Times New Roman" w:cs="Times New Roman"/>
          <w:sz w:val="24"/>
          <w:szCs w:val="24"/>
        </w:rPr>
        <w:t>l land is often considered, in its</w:t>
      </w:r>
      <w:r w:rsidRPr="00F33937">
        <w:rPr>
          <w:rFonts w:ascii="Times New Roman" w:hAnsi="Times New Roman" w:cs="Times New Roman"/>
          <w:sz w:val="24"/>
          <w:szCs w:val="24"/>
        </w:rPr>
        <w:t xml:space="preserve"> entirety, their home.</w:t>
      </w:r>
      <w:r w:rsidR="00753321" w:rsidRPr="00F33937">
        <w:rPr>
          <w:rStyle w:val="FootnoteReference"/>
          <w:rFonts w:ascii="Times New Roman" w:hAnsi="Times New Roman" w:cs="Times New Roman"/>
          <w:sz w:val="24"/>
          <w:szCs w:val="24"/>
        </w:rPr>
        <w:footnoteReference w:id="162"/>
      </w:r>
      <w:r w:rsidRPr="00F33937">
        <w:rPr>
          <w:rFonts w:ascii="Times New Roman" w:hAnsi="Times New Roman" w:cs="Times New Roman"/>
          <w:sz w:val="24"/>
          <w:szCs w:val="24"/>
        </w:rPr>
        <w:t xml:space="preserve"> </w:t>
      </w:r>
      <w:r w:rsidR="00476EEE" w:rsidRPr="00F33937">
        <w:rPr>
          <w:rFonts w:ascii="Times New Roman" w:hAnsi="Times New Roman" w:cs="Times New Roman"/>
          <w:sz w:val="24"/>
          <w:szCs w:val="24"/>
        </w:rPr>
        <w:t xml:space="preserve"> </w:t>
      </w:r>
      <w:r w:rsidR="004752E4" w:rsidRPr="00F33937">
        <w:rPr>
          <w:rFonts w:ascii="Times New Roman" w:hAnsi="Times New Roman" w:cs="Times New Roman"/>
          <w:sz w:val="24"/>
          <w:szCs w:val="24"/>
        </w:rPr>
        <w:t xml:space="preserve">As in </w:t>
      </w:r>
      <w:r w:rsidR="004752E4" w:rsidRPr="00F33937">
        <w:rPr>
          <w:rFonts w:ascii="Times New Roman" w:hAnsi="Times New Roman" w:cs="Times New Roman"/>
          <w:i/>
          <w:sz w:val="24"/>
          <w:szCs w:val="24"/>
        </w:rPr>
        <w:t>Kichwa</w:t>
      </w:r>
      <w:r w:rsidR="004752E4" w:rsidRPr="00F33937">
        <w:rPr>
          <w:rFonts w:ascii="Times New Roman" w:hAnsi="Times New Roman" w:cs="Times New Roman"/>
          <w:sz w:val="24"/>
          <w:szCs w:val="24"/>
        </w:rPr>
        <w:t xml:space="preserve">, </w:t>
      </w:r>
      <w:r w:rsidR="00011459" w:rsidRPr="00F33937">
        <w:rPr>
          <w:rFonts w:ascii="Times New Roman" w:hAnsi="Times New Roman" w:cs="Times New Roman"/>
          <w:sz w:val="24"/>
          <w:szCs w:val="24"/>
        </w:rPr>
        <w:t>where indigenous groups in Ecuador were barred</w:t>
      </w:r>
      <w:r w:rsidR="004E067E">
        <w:rPr>
          <w:rFonts w:ascii="Times New Roman" w:hAnsi="Times New Roman" w:cs="Times New Roman"/>
          <w:sz w:val="24"/>
          <w:szCs w:val="24"/>
        </w:rPr>
        <w:t xml:space="preserve"> by outside parties</w:t>
      </w:r>
      <w:r w:rsidR="00011459" w:rsidRPr="00F33937">
        <w:rPr>
          <w:rFonts w:ascii="Times New Roman" w:hAnsi="Times New Roman" w:cs="Times New Roman"/>
          <w:sz w:val="24"/>
          <w:szCs w:val="24"/>
        </w:rPr>
        <w:t xml:space="preserve"> from full use of the</w:t>
      </w:r>
      <w:r w:rsidR="004E067E">
        <w:rPr>
          <w:rFonts w:ascii="Times New Roman" w:hAnsi="Times New Roman" w:cs="Times New Roman"/>
          <w:sz w:val="24"/>
          <w:szCs w:val="24"/>
        </w:rPr>
        <w:t>ir home</w:t>
      </w:r>
      <w:r w:rsidR="00011459" w:rsidRPr="00F33937">
        <w:rPr>
          <w:rFonts w:ascii="Times New Roman" w:hAnsi="Times New Roman" w:cs="Times New Roman"/>
          <w:sz w:val="24"/>
          <w:szCs w:val="24"/>
        </w:rPr>
        <w:t xml:space="preserve">, </w:t>
      </w:r>
      <w:r w:rsidR="004752E4" w:rsidRPr="00F33937">
        <w:rPr>
          <w:rFonts w:ascii="Times New Roman" w:hAnsi="Times New Roman" w:cs="Times New Roman"/>
          <w:sz w:val="24"/>
          <w:szCs w:val="24"/>
        </w:rPr>
        <w:t>the Court has specified</w:t>
      </w:r>
      <w:r w:rsidR="00153C9E" w:rsidRPr="00F33937">
        <w:rPr>
          <w:rFonts w:ascii="Times New Roman" w:hAnsi="Times New Roman" w:cs="Times New Roman"/>
          <w:sz w:val="24"/>
          <w:szCs w:val="24"/>
        </w:rPr>
        <w:t xml:space="preserve"> through the people’s </w:t>
      </w:r>
      <w:r w:rsidR="003C7C14" w:rsidRPr="00F33937">
        <w:rPr>
          <w:rFonts w:ascii="Times New Roman" w:hAnsi="Times New Roman" w:cs="Times New Roman"/>
          <w:sz w:val="24"/>
          <w:szCs w:val="24"/>
        </w:rPr>
        <w:t>plight</w:t>
      </w:r>
      <w:r w:rsidR="004752E4" w:rsidRPr="00F33937">
        <w:rPr>
          <w:rFonts w:ascii="Times New Roman" w:hAnsi="Times New Roman" w:cs="Times New Roman"/>
          <w:sz w:val="24"/>
          <w:szCs w:val="24"/>
        </w:rPr>
        <w:t xml:space="preserve"> the continued </w:t>
      </w:r>
      <w:r w:rsidR="00ED7760">
        <w:rPr>
          <w:rFonts w:ascii="Times New Roman" w:hAnsi="Times New Roman" w:cs="Times New Roman"/>
          <w:sz w:val="24"/>
          <w:szCs w:val="24"/>
        </w:rPr>
        <w:t xml:space="preserve">access similarly situated </w:t>
      </w:r>
      <w:r w:rsidR="00153C9E" w:rsidRPr="00F33937">
        <w:rPr>
          <w:rFonts w:ascii="Times New Roman" w:hAnsi="Times New Roman" w:cs="Times New Roman"/>
          <w:sz w:val="24"/>
          <w:szCs w:val="24"/>
        </w:rPr>
        <w:t xml:space="preserve">persons </w:t>
      </w:r>
      <w:r w:rsidR="00ED7760">
        <w:rPr>
          <w:rFonts w:ascii="Times New Roman" w:hAnsi="Times New Roman" w:cs="Times New Roman"/>
          <w:sz w:val="24"/>
          <w:szCs w:val="24"/>
        </w:rPr>
        <w:t xml:space="preserve">are </w:t>
      </w:r>
      <w:r w:rsidR="00DB36AD" w:rsidRPr="00F33937">
        <w:rPr>
          <w:rFonts w:ascii="Times New Roman" w:hAnsi="Times New Roman" w:cs="Times New Roman"/>
          <w:sz w:val="24"/>
          <w:szCs w:val="24"/>
        </w:rPr>
        <w:t>granted</w:t>
      </w:r>
      <w:r w:rsidR="00BF7894" w:rsidRPr="00F33937">
        <w:rPr>
          <w:rFonts w:ascii="Times New Roman" w:hAnsi="Times New Roman" w:cs="Times New Roman"/>
          <w:sz w:val="24"/>
          <w:szCs w:val="24"/>
        </w:rPr>
        <w:t xml:space="preserve">.  </w:t>
      </w:r>
      <w:r w:rsidR="00CA11E1" w:rsidRPr="00F33937">
        <w:rPr>
          <w:rFonts w:ascii="Times New Roman" w:hAnsi="Times New Roman" w:cs="Times New Roman"/>
          <w:sz w:val="24"/>
          <w:szCs w:val="24"/>
        </w:rPr>
        <w:t xml:space="preserve">Section 1 of Article 22 </w:t>
      </w:r>
      <w:r w:rsidR="00932FD4">
        <w:rPr>
          <w:rFonts w:ascii="Times New Roman" w:hAnsi="Times New Roman" w:cs="Times New Roman"/>
          <w:sz w:val="24"/>
          <w:szCs w:val="24"/>
        </w:rPr>
        <w:t xml:space="preserve">of the Convention </w:t>
      </w:r>
      <w:r w:rsidR="00CA11E1" w:rsidRPr="00F33937">
        <w:rPr>
          <w:rFonts w:ascii="Times New Roman" w:hAnsi="Times New Roman" w:cs="Times New Roman"/>
          <w:sz w:val="24"/>
          <w:szCs w:val="24"/>
        </w:rPr>
        <w:t>insures those movement and residence rights.</w:t>
      </w:r>
      <w:r w:rsidR="00F746CE" w:rsidRPr="00F33937">
        <w:rPr>
          <w:rFonts w:ascii="Times New Roman" w:hAnsi="Times New Roman" w:cs="Times New Roman"/>
          <w:sz w:val="24"/>
          <w:szCs w:val="24"/>
        </w:rPr>
        <w:t xml:space="preserve">  </w:t>
      </w:r>
      <w:r w:rsidR="00907BF2" w:rsidRPr="00F33937">
        <w:rPr>
          <w:rFonts w:ascii="Times New Roman" w:hAnsi="Times New Roman" w:cs="Times New Roman"/>
          <w:sz w:val="24"/>
          <w:szCs w:val="24"/>
        </w:rPr>
        <w:t xml:space="preserve">In addition to the Court’s history with these rights, international </w:t>
      </w:r>
      <w:r w:rsidR="00907BF2" w:rsidRPr="00F33937">
        <w:rPr>
          <w:rFonts w:ascii="Times New Roman" w:hAnsi="Times New Roman" w:cs="Times New Roman"/>
          <w:sz w:val="24"/>
          <w:szCs w:val="24"/>
        </w:rPr>
        <w:lastRenderedPageBreak/>
        <w:t>instruments join the Convention in protecting them</w:t>
      </w:r>
      <w:r w:rsidR="00D74D49" w:rsidRPr="00F33937">
        <w:rPr>
          <w:rFonts w:ascii="Times New Roman" w:hAnsi="Times New Roman" w:cs="Times New Roman"/>
          <w:sz w:val="24"/>
          <w:szCs w:val="24"/>
        </w:rPr>
        <w:t xml:space="preserve">, to include </w:t>
      </w:r>
      <w:r w:rsidR="00907BF2" w:rsidRPr="00F33937">
        <w:rPr>
          <w:rFonts w:ascii="Times New Roman" w:hAnsi="Times New Roman" w:cs="Times New Roman"/>
          <w:sz w:val="24"/>
          <w:szCs w:val="24"/>
        </w:rPr>
        <w:t>the American Declaration on the Rights and Duties of Man</w:t>
      </w:r>
      <w:r w:rsidR="00D74D49" w:rsidRPr="00F33937">
        <w:rPr>
          <w:rFonts w:ascii="Times New Roman" w:hAnsi="Times New Roman" w:cs="Times New Roman"/>
          <w:sz w:val="24"/>
          <w:szCs w:val="24"/>
        </w:rPr>
        <w:t>.</w:t>
      </w:r>
      <w:r w:rsidR="00907BF2" w:rsidRPr="00F33937">
        <w:rPr>
          <w:rStyle w:val="FootnoteReference"/>
          <w:rFonts w:ascii="Times New Roman" w:hAnsi="Times New Roman" w:cs="Times New Roman"/>
          <w:sz w:val="24"/>
          <w:szCs w:val="24"/>
        </w:rPr>
        <w:footnoteReference w:id="163"/>
      </w:r>
      <w:r w:rsidR="00D53B27" w:rsidRPr="00F33937">
        <w:rPr>
          <w:rFonts w:ascii="Times New Roman" w:hAnsi="Times New Roman" w:cs="Times New Roman"/>
          <w:sz w:val="24"/>
          <w:szCs w:val="24"/>
        </w:rPr>
        <w:t xml:space="preserve">  </w:t>
      </w:r>
    </w:p>
    <w:p w14:paraId="64F3F518" w14:textId="613D857B" w:rsidR="009A7A6C" w:rsidRPr="00F33937" w:rsidRDefault="00497198" w:rsidP="00E22F8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A333C2" w:rsidRPr="00F33937">
        <w:rPr>
          <w:rFonts w:ascii="Times New Roman" w:hAnsi="Times New Roman" w:cs="Times New Roman"/>
          <w:sz w:val="24"/>
          <w:szCs w:val="24"/>
        </w:rPr>
        <w:t xml:space="preserve">The </w:t>
      </w:r>
      <w:r w:rsidRPr="00F33937">
        <w:rPr>
          <w:rFonts w:ascii="Times New Roman" w:hAnsi="Times New Roman" w:cs="Times New Roman"/>
          <w:sz w:val="24"/>
          <w:szCs w:val="24"/>
        </w:rPr>
        <w:t xml:space="preserve">Republic of Charechia </w:t>
      </w:r>
      <w:r w:rsidR="00A333C2" w:rsidRPr="00F33937">
        <w:rPr>
          <w:rFonts w:ascii="Times New Roman" w:hAnsi="Times New Roman" w:cs="Times New Roman"/>
          <w:sz w:val="24"/>
          <w:szCs w:val="24"/>
        </w:rPr>
        <w:t xml:space="preserve">arrested the Families’ full enjoyment </w:t>
      </w:r>
      <w:r w:rsidR="00822C4C" w:rsidRPr="00F33937">
        <w:rPr>
          <w:rFonts w:ascii="Times New Roman" w:hAnsi="Times New Roman" w:cs="Times New Roman"/>
          <w:sz w:val="24"/>
          <w:szCs w:val="24"/>
        </w:rPr>
        <w:t xml:space="preserve">of </w:t>
      </w:r>
      <w:r w:rsidR="002570C7" w:rsidRPr="00F33937">
        <w:rPr>
          <w:rFonts w:ascii="Times New Roman" w:hAnsi="Times New Roman" w:cs="Times New Roman"/>
          <w:sz w:val="24"/>
          <w:szCs w:val="24"/>
        </w:rPr>
        <w:t xml:space="preserve">their land </w:t>
      </w:r>
      <w:r w:rsidR="00A333C2" w:rsidRPr="00F33937">
        <w:rPr>
          <w:rFonts w:ascii="Times New Roman" w:hAnsi="Times New Roman" w:cs="Times New Roman"/>
          <w:sz w:val="24"/>
          <w:szCs w:val="24"/>
        </w:rPr>
        <w:t xml:space="preserve">by </w:t>
      </w:r>
      <w:r w:rsidR="002570C7" w:rsidRPr="00F33937">
        <w:rPr>
          <w:rFonts w:ascii="Times New Roman" w:hAnsi="Times New Roman" w:cs="Times New Roman"/>
          <w:sz w:val="24"/>
          <w:szCs w:val="24"/>
        </w:rPr>
        <w:t>committing</w:t>
      </w:r>
      <w:r w:rsidR="00FE7DAD" w:rsidRPr="00F33937">
        <w:rPr>
          <w:rFonts w:ascii="Times New Roman" w:hAnsi="Times New Roman" w:cs="Times New Roman"/>
          <w:sz w:val="24"/>
          <w:szCs w:val="24"/>
        </w:rPr>
        <w:t>,</w:t>
      </w:r>
      <w:r w:rsidR="002570C7" w:rsidRPr="00F33937">
        <w:rPr>
          <w:rFonts w:ascii="Times New Roman" w:hAnsi="Times New Roman" w:cs="Times New Roman"/>
          <w:sz w:val="24"/>
          <w:szCs w:val="24"/>
        </w:rPr>
        <w:t xml:space="preserve"> without proper delineation between fighters and non-combatants</w:t>
      </w:r>
      <w:r w:rsidR="00FE7DAD" w:rsidRPr="00F33937">
        <w:rPr>
          <w:rFonts w:ascii="Times New Roman" w:hAnsi="Times New Roman" w:cs="Times New Roman"/>
          <w:sz w:val="24"/>
          <w:szCs w:val="24"/>
        </w:rPr>
        <w:t>,</w:t>
      </w:r>
      <w:r w:rsidR="0002242B" w:rsidRPr="00F33937">
        <w:rPr>
          <w:rStyle w:val="FootnoteReference"/>
          <w:rFonts w:ascii="Times New Roman" w:hAnsi="Times New Roman" w:cs="Times New Roman"/>
          <w:sz w:val="24"/>
          <w:szCs w:val="24"/>
        </w:rPr>
        <w:footnoteReference w:id="164"/>
      </w:r>
      <w:r w:rsidR="002570C7" w:rsidRPr="00F33937">
        <w:rPr>
          <w:rFonts w:ascii="Times New Roman" w:hAnsi="Times New Roman" w:cs="Times New Roman"/>
          <w:sz w:val="24"/>
          <w:szCs w:val="24"/>
        </w:rPr>
        <w:t xml:space="preserve"> its </w:t>
      </w:r>
      <w:r w:rsidR="00301272" w:rsidRPr="00F33937">
        <w:rPr>
          <w:rFonts w:ascii="Times New Roman" w:hAnsi="Times New Roman" w:cs="Times New Roman"/>
          <w:sz w:val="24"/>
          <w:szCs w:val="24"/>
        </w:rPr>
        <w:t>military raid upon the village.</w:t>
      </w:r>
      <w:r w:rsidR="00AC1755" w:rsidRPr="00F33937">
        <w:rPr>
          <w:rFonts w:ascii="Times New Roman" w:hAnsi="Times New Roman" w:cs="Times New Roman"/>
          <w:sz w:val="24"/>
          <w:szCs w:val="24"/>
        </w:rPr>
        <w:t xml:space="preserve">  </w:t>
      </w:r>
      <w:r w:rsidR="00B25332" w:rsidRPr="00F33937">
        <w:rPr>
          <w:rFonts w:ascii="Times New Roman" w:hAnsi="Times New Roman" w:cs="Times New Roman"/>
          <w:sz w:val="24"/>
          <w:szCs w:val="24"/>
        </w:rPr>
        <w:t>The damage resulting from a military air raid upon a</w:t>
      </w:r>
      <w:r w:rsidR="00AC1755" w:rsidRPr="00F33937">
        <w:rPr>
          <w:rFonts w:ascii="Times New Roman" w:hAnsi="Times New Roman" w:cs="Times New Roman"/>
          <w:sz w:val="24"/>
          <w:szCs w:val="24"/>
        </w:rPr>
        <w:t xml:space="preserve"> modest settlement </w:t>
      </w:r>
      <w:r w:rsidR="00B25332" w:rsidRPr="00F33937">
        <w:rPr>
          <w:rFonts w:ascii="Times New Roman" w:hAnsi="Times New Roman" w:cs="Times New Roman"/>
          <w:sz w:val="24"/>
          <w:szCs w:val="24"/>
        </w:rPr>
        <w:t>can be precious, with homes subjected to bombings simply collapsing</w:t>
      </w:r>
      <w:r w:rsidR="00C51F66" w:rsidRPr="00F33937">
        <w:rPr>
          <w:rFonts w:ascii="Times New Roman" w:hAnsi="Times New Roman" w:cs="Times New Roman"/>
          <w:sz w:val="24"/>
          <w:szCs w:val="24"/>
        </w:rPr>
        <w:t>.</w:t>
      </w:r>
      <w:r w:rsidR="00B25332" w:rsidRPr="00F33937">
        <w:rPr>
          <w:rStyle w:val="FootnoteReference"/>
          <w:rFonts w:ascii="Times New Roman" w:hAnsi="Times New Roman" w:cs="Times New Roman"/>
          <w:sz w:val="24"/>
          <w:szCs w:val="24"/>
        </w:rPr>
        <w:footnoteReference w:id="165"/>
      </w:r>
      <w:r w:rsidR="00B25332" w:rsidRPr="00F33937">
        <w:rPr>
          <w:rFonts w:ascii="Times New Roman" w:hAnsi="Times New Roman" w:cs="Times New Roman"/>
          <w:sz w:val="24"/>
          <w:szCs w:val="24"/>
        </w:rPr>
        <w:t xml:space="preserve"> </w:t>
      </w:r>
      <w:r w:rsidR="00C51F66" w:rsidRPr="00F33937">
        <w:rPr>
          <w:rFonts w:ascii="Times New Roman" w:hAnsi="Times New Roman" w:cs="Times New Roman"/>
          <w:sz w:val="24"/>
          <w:szCs w:val="24"/>
        </w:rPr>
        <w:t xml:space="preserve"> Furthermore, w</w:t>
      </w:r>
      <w:r w:rsidR="00AC1755" w:rsidRPr="00F33937">
        <w:rPr>
          <w:rFonts w:ascii="Times New Roman" w:hAnsi="Times New Roman" w:cs="Times New Roman"/>
          <w:sz w:val="24"/>
          <w:szCs w:val="24"/>
        </w:rPr>
        <w:t>here t</w:t>
      </w:r>
      <w:r w:rsidR="00C4778E" w:rsidRPr="00F33937">
        <w:rPr>
          <w:rFonts w:ascii="Times New Roman" w:hAnsi="Times New Roman" w:cs="Times New Roman"/>
          <w:sz w:val="24"/>
          <w:szCs w:val="24"/>
        </w:rPr>
        <w:t xml:space="preserve">he majority of those working </w:t>
      </w:r>
      <w:r w:rsidR="0012581D" w:rsidRPr="00F33937">
        <w:rPr>
          <w:rFonts w:ascii="Times New Roman" w:hAnsi="Times New Roman" w:cs="Times New Roman"/>
          <w:sz w:val="24"/>
          <w:szCs w:val="24"/>
        </w:rPr>
        <w:t>gather income from</w:t>
      </w:r>
      <w:r w:rsidR="00AC1755" w:rsidRPr="00F33937">
        <w:rPr>
          <w:rFonts w:ascii="Times New Roman" w:hAnsi="Times New Roman" w:cs="Times New Roman"/>
          <w:sz w:val="24"/>
          <w:szCs w:val="24"/>
        </w:rPr>
        <w:t xml:space="preserve"> </w:t>
      </w:r>
      <w:r w:rsidR="0012581D" w:rsidRPr="00F33937">
        <w:rPr>
          <w:rFonts w:ascii="Times New Roman" w:hAnsi="Times New Roman" w:cs="Times New Roman"/>
          <w:sz w:val="24"/>
          <w:szCs w:val="24"/>
        </w:rPr>
        <w:t>farming and fishing</w:t>
      </w:r>
      <w:r w:rsidR="00AC1755" w:rsidRPr="00F33937">
        <w:rPr>
          <w:rFonts w:ascii="Times New Roman" w:hAnsi="Times New Roman" w:cs="Times New Roman"/>
          <w:sz w:val="24"/>
          <w:szCs w:val="24"/>
        </w:rPr>
        <w:t>,</w:t>
      </w:r>
      <w:r w:rsidR="00C51F66" w:rsidRPr="00F33937">
        <w:rPr>
          <w:rFonts w:ascii="Times New Roman" w:hAnsi="Times New Roman" w:cs="Times New Roman"/>
          <w:sz w:val="24"/>
          <w:szCs w:val="24"/>
        </w:rPr>
        <w:t xml:space="preserve"> the movement </w:t>
      </w:r>
      <w:r w:rsidR="0012581D" w:rsidRPr="00F33937">
        <w:rPr>
          <w:rFonts w:ascii="Times New Roman" w:hAnsi="Times New Roman" w:cs="Times New Roman"/>
          <w:sz w:val="24"/>
          <w:szCs w:val="24"/>
        </w:rPr>
        <w:t xml:space="preserve">the military </w:t>
      </w:r>
      <w:r w:rsidR="00C51F66" w:rsidRPr="00F33937">
        <w:rPr>
          <w:rFonts w:ascii="Times New Roman" w:hAnsi="Times New Roman" w:cs="Times New Roman"/>
          <w:sz w:val="24"/>
          <w:szCs w:val="24"/>
        </w:rPr>
        <w:t>bombs have either suspended or halted altogether is likely extreme, and the rebuildin</w:t>
      </w:r>
      <w:r w:rsidR="0012581D" w:rsidRPr="00F33937">
        <w:rPr>
          <w:rFonts w:ascii="Times New Roman" w:hAnsi="Times New Roman" w:cs="Times New Roman"/>
          <w:sz w:val="24"/>
          <w:szCs w:val="24"/>
        </w:rPr>
        <w:t>g requirements may be extensive in a relatively poor area like Paraio.</w:t>
      </w:r>
      <w:r w:rsidR="00E27E8D" w:rsidRPr="00F33937">
        <w:rPr>
          <w:rStyle w:val="FootnoteReference"/>
          <w:rFonts w:ascii="Times New Roman" w:hAnsi="Times New Roman" w:cs="Times New Roman"/>
          <w:sz w:val="24"/>
          <w:szCs w:val="24"/>
        </w:rPr>
        <w:footnoteReference w:id="166"/>
      </w:r>
      <w:r w:rsidR="00E27E8D" w:rsidRPr="00F33937">
        <w:rPr>
          <w:rFonts w:ascii="Times New Roman" w:hAnsi="Times New Roman" w:cs="Times New Roman"/>
          <w:sz w:val="24"/>
          <w:szCs w:val="24"/>
        </w:rPr>
        <w:t xml:space="preserve">  </w:t>
      </w:r>
      <w:r w:rsidR="00C4778E" w:rsidRPr="00F33937">
        <w:rPr>
          <w:rFonts w:ascii="Times New Roman" w:hAnsi="Times New Roman" w:cs="Times New Roman"/>
          <w:sz w:val="24"/>
          <w:szCs w:val="24"/>
        </w:rPr>
        <w:t xml:space="preserve">Thus the </w:t>
      </w:r>
      <w:r w:rsidR="003B06BA">
        <w:rPr>
          <w:rFonts w:ascii="Times New Roman" w:hAnsi="Times New Roman" w:cs="Times New Roman"/>
          <w:sz w:val="24"/>
          <w:szCs w:val="24"/>
        </w:rPr>
        <w:t xml:space="preserve">arrested </w:t>
      </w:r>
      <w:r w:rsidR="00C4778E" w:rsidRPr="00F33937">
        <w:rPr>
          <w:rFonts w:ascii="Times New Roman" w:hAnsi="Times New Roman" w:cs="Times New Roman"/>
          <w:sz w:val="24"/>
          <w:szCs w:val="24"/>
        </w:rPr>
        <w:t>movement of the indigenous residents as well as the disruptions and costs to their li</w:t>
      </w:r>
      <w:r w:rsidR="003B06BA">
        <w:rPr>
          <w:rFonts w:ascii="Times New Roman" w:hAnsi="Times New Roman" w:cs="Times New Roman"/>
          <w:sz w:val="24"/>
          <w:szCs w:val="24"/>
        </w:rPr>
        <w:t>ves are, with a bombing like Paraio’s</w:t>
      </w:r>
      <w:r w:rsidR="00C4778E" w:rsidRPr="00F33937">
        <w:rPr>
          <w:rFonts w:ascii="Times New Roman" w:hAnsi="Times New Roman" w:cs="Times New Roman"/>
          <w:sz w:val="24"/>
          <w:szCs w:val="24"/>
        </w:rPr>
        <w:t xml:space="preserve">, </w:t>
      </w:r>
      <w:r w:rsidR="00457827" w:rsidRPr="00F33937">
        <w:rPr>
          <w:rFonts w:ascii="Times New Roman" w:hAnsi="Times New Roman" w:cs="Times New Roman"/>
          <w:sz w:val="24"/>
          <w:szCs w:val="24"/>
        </w:rPr>
        <w:t>like</w:t>
      </w:r>
      <w:r w:rsidR="002519CE" w:rsidRPr="00F33937">
        <w:rPr>
          <w:rFonts w:ascii="Times New Roman" w:hAnsi="Times New Roman" w:cs="Times New Roman"/>
          <w:sz w:val="24"/>
          <w:szCs w:val="24"/>
        </w:rPr>
        <w:t>ly</w:t>
      </w:r>
      <w:r w:rsidR="00457827" w:rsidRPr="00F33937">
        <w:rPr>
          <w:rFonts w:ascii="Times New Roman" w:hAnsi="Times New Roman" w:cs="Times New Roman"/>
          <w:sz w:val="24"/>
          <w:szCs w:val="24"/>
        </w:rPr>
        <w:t xml:space="preserve"> to be </w:t>
      </w:r>
      <w:r w:rsidR="00C4778E" w:rsidRPr="00F33937">
        <w:rPr>
          <w:rFonts w:ascii="Times New Roman" w:hAnsi="Times New Roman" w:cs="Times New Roman"/>
          <w:sz w:val="24"/>
          <w:szCs w:val="24"/>
        </w:rPr>
        <w:t>exorbitant.</w:t>
      </w:r>
      <w:r w:rsidR="00C4778E" w:rsidRPr="00F33937">
        <w:rPr>
          <w:rStyle w:val="FootnoteReference"/>
          <w:rFonts w:ascii="Times New Roman" w:hAnsi="Times New Roman" w:cs="Times New Roman"/>
          <w:sz w:val="24"/>
          <w:szCs w:val="24"/>
        </w:rPr>
        <w:footnoteReference w:id="167"/>
      </w:r>
      <w:r w:rsidR="00C4778E" w:rsidRPr="00F33937">
        <w:rPr>
          <w:rFonts w:ascii="Times New Roman" w:hAnsi="Times New Roman" w:cs="Times New Roman"/>
          <w:sz w:val="24"/>
          <w:szCs w:val="24"/>
        </w:rPr>
        <w:t xml:space="preserve"> </w:t>
      </w:r>
      <w:r w:rsidR="00A65F6D" w:rsidRPr="00F33937">
        <w:rPr>
          <w:rFonts w:ascii="Times New Roman" w:hAnsi="Times New Roman" w:cs="Times New Roman"/>
          <w:sz w:val="24"/>
          <w:szCs w:val="24"/>
        </w:rPr>
        <w:t xml:space="preserve"> </w:t>
      </w:r>
    </w:p>
    <w:p w14:paraId="3F378C7F" w14:textId="2FE22078" w:rsidR="00647D35" w:rsidRPr="00F33937" w:rsidRDefault="009A7A6C" w:rsidP="00647D35">
      <w:pPr>
        <w:spacing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t>W</w:t>
      </w:r>
      <w:r w:rsidR="00FA5414" w:rsidRPr="00F33937">
        <w:rPr>
          <w:rFonts w:ascii="Times New Roman" w:hAnsi="Times New Roman" w:cs="Times New Roman"/>
          <w:sz w:val="24"/>
          <w:szCs w:val="24"/>
        </w:rPr>
        <w:t xml:space="preserve">ith the government’s </w:t>
      </w:r>
      <w:r w:rsidRPr="00F33937">
        <w:rPr>
          <w:rFonts w:ascii="Times New Roman" w:hAnsi="Times New Roman" w:cs="Times New Roman"/>
          <w:sz w:val="24"/>
          <w:szCs w:val="24"/>
        </w:rPr>
        <w:t>“significant” military budget and Maior-province backing</w:t>
      </w:r>
      <w:r w:rsidR="00AB25E9" w:rsidRPr="00F33937">
        <w:rPr>
          <w:rFonts w:ascii="Times New Roman" w:hAnsi="Times New Roman" w:cs="Times New Roman"/>
          <w:sz w:val="24"/>
          <w:szCs w:val="24"/>
        </w:rPr>
        <w:t>,</w:t>
      </w:r>
      <w:r w:rsidRPr="00F33937">
        <w:rPr>
          <w:rStyle w:val="FootnoteReference"/>
          <w:rFonts w:ascii="Times New Roman" w:hAnsi="Times New Roman" w:cs="Times New Roman"/>
          <w:sz w:val="24"/>
          <w:szCs w:val="24"/>
        </w:rPr>
        <w:footnoteReference w:id="168"/>
      </w:r>
      <w:r w:rsidR="00AB25E9" w:rsidRPr="00F33937">
        <w:rPr>
          <w:rFonts w:ascii="Times New Roman" w:hAnsi="Times New Roman" w:cs="Times New Roman"/>
          <w:sz w:val="24"/>
          <w:szCs w:val="24"/>
        </w:rPr>
        <w:t xml:space="preserve"> the residents of Paraio were likely barred or retarded from </w:t>
      </w:r>
      <w:r w:rsidR="00823A51" w:rsidRPr="00F33937">
        <w:rPr>
          <w:rFonts w:ascii="Times New Roman" w:hAnsi="Times New Roman" w:cs="Times New Roman"/>
          <w:sz w:val="24"/>
          <w:szCs w:val="24"/>
        </w:rPr>
        <w:t>regular or preferred movement, given</w:t>
      </w:r>
      <w:r w:rsidR="00AB25E9" w:rsidRPr="00F33937">
        <w:rPr>
          <w:rFonts w:ascii="Times New Roman" w:hAnsi="Times New Roman" w:cs="Times New Roman"/>
          <w:sz w:val="24"/>
          <w:szCs w:val="24"/>
        </w:rPr>
        <w:t xml:space="preserve"> “the large presence of military pe</w:t>
      </w:r>
      <w:r w:rsidR="00FA5414" w:rsidRPr="00F33937">
        <w:rPr>
          <w:rFonts w:ascii="Times New Roman" w:hAnsi="Times New Roman" w:cs="Times New Roman"/>
          <w:sz w:val="24"/>
          <w:szCs w:val="24"/>
        </w:rPr>
        <w:t>rsonnel [installed] in the area</w:t>
      </w:r>
      <w:r w:rsidR="00AB25E9" w:rsidRPr="00F33937">
        <w:rPr>
          <w:rFonts w:ascii="Times New Roman" w:hAnsi="Times New Roman" w:cs="Times New Roman"/>
          <w:sz w:val="24"/>
          <w:szCs w:val="24"/>
        </w:rPr>
        <w:t>”</w:t>
      </w:r>
      <w:r w:rsidR="00AB25E9" w:rsidRPr="00F33937">
        <w:rPr>
          <w:rStyle w:val="FootnoteReference"/>
          <w:rFonts w:ascii="Times New Roman" w:hAnsi="Times New Roman" w:cs="Times New Roman"/>
          <w:sz w:val="24"/>
          <w:szCs w:val="24"/>
        </w:rPr>
        <w:footnoteReference w:id="169"/>
      </w:r>
      <w:r w:rsidR="00FA5414" w:rsidRPr="00F33937">
        <w:rPr>
          <w:rFonts w:ascii="Times New Roman" w:hAnsi="Times New Roman" w:cs="Times New Roman"/>
          <w:sz w:val="24"/>
          <w:szCs w:val="24"/>
        </w:rPr>
        <w:t xml:space="preserve"> for the duration of the State’s crackdowns on the “cowardly . . . terrorists and rabble-rousers.”</w:t>
      </w:r>
      <w:r w:rsidR="00FA5414" w:rsidRPr="00F33937">
        <w:rPr>
          <w:rStyle w:val="FootnoteReference"/>
          <w:rFonts w:ascii="Times New Roman" w:hAnsi="Times New Roman" w:cs="Times New Roman"/>
          <w:sz w:val="24"/>
          <w:szCs w:val="24"/>
        </w:rPr>
        <w:footnoteReference w:id="170"/>
      </w:r>
      <w:r w:rsidR="00843C9C" w:rsidRPr="00F33937">
        <w:rPr>
          <w:rFonts w:ascii="Times New Roman" w:hAnsi="Times New Roman" w:cs="Times New Roman"/>
          <w:sz w:val="24"/>
          <w:szCs w:val="24"/>
        </w:rPr>
        <w:t xml:space="preserve">  </w:t>
      </w:r>
      <w:r w:rsidR="00823A51" w:rsidRPr="00F33937">
        <w:rPr>
          <w:rFonts w:ascii="Times New Roman" w:hAnsi="Times New Roman" w:cs="Times New Roman"/>
          <w:sz w:val="24"/>
          <w:szCs w:val="24"/>
        </w:rPr>
        <w:t>Therefore, through damage to housing and</w:t>
      </w:r>
      <w:r w:rsidR="001E2EA3">
        <w:rPr>
          <w:rFonts w:ascii="Times New Roman" w:hAnsi="Times New Roman" w:cs="Times New Roman"/>
          <w:sz w:val="24"/>
          <w:szCs w:val="24"/>
        </w:rPr>
        <w:t xml:space="preserve"> a</w:t>
      </w:r>
      <w:r w:rsidR="00823A51" w:rsidRPr="00F33937">
        <w:rPr>
          <w:rFonts w:ascii="Times New Roman" w:hAnsi="Times New Roman" w:cs="Times New Roman"/>
          <w:sz w:val="24"/>
          <w:szCs w:val="24"/>
        </w:rPr>
        <w:t xml:space="preserve"> military occupation</w:t>
      </w:r>
      <w:r w:rsidR="001E2EA3">
        <w:rPr>
          <w:rFonts w:ascii="Times New Roman" w:hAnsi="Times New Roman" w:cs="Times New Roman"/>
          <w:sz w:val="24"/>
          <w:szCs w:val="24"/>
        </w:rPr>
        <w:t xml:space="preserve"> of the area</w:t>
      </w:r>
      <w:r w:rsidR="00823A51" w:rsidRPr="00F33937">
        <w:rPr>
          <w:rFonts w:ascii="Times New Roman" w:hAnsi="Times New Roman" w:cs="Times New Roman"/>
          <w:sz w:val="24"/>
          <w:szCs w:val="24"/>
        </w:rPr>
        <w:t>, the State has</w:t>
      </w:r>
      <w:r w:rsidR="00843C9C" w:rsidRPr="00F33937">
        <w:rPr>
          <w:rFonts w:ascii="Times New Roman" w:hAnsi="Times New Roman" w:cs="Times New Roman"/>
          <w:sz w:val="24"/>
          <w:szCs w:val="24"/>
        </w:rPr>
        <w:t xml:space="preserve"> </w:t>
      </w:r>
      <w:r w:rsidR="00AB25E9" w:rsidRPr="00F33937">
        <w:rPr>
          <w:rFonts w:ascii="Times New Roman" w:hAnsi="Times New Roman" w:cs="Times New Roman"/>
          <w:sz w:val="24"/>
          <w:szCs w:val="24"/>
        </w:rPr>
        <w:t>c</w:t>
      </w:r>
      <w:r w:rsidR="00823A51" w:rsidRPr="00F33937">
        <w:rPr>
          <w:rFonts w:ascii="Times New Roman" w:hAnsi="Times New Roman" w:cs="Times New Roman"/>
          <w:sz w:val="24"/>
          <w:szCs w:val="24"/>
        </w:rPr>
        <w:t>ommandeered</w:t>
      </w:r>
      <w:r w:rsidRPr="00F33937">
        <w:rPr>
          <w:rFonts w:ascii="Times New Roman" w:hAnsi="Times New Roman" w:cs="Times New Roman"/>
          <w:sz w:val="24"/>
          <w:szCs w:val="24"/>
        </w:rPr>
        <w:t xml:space="preserve"> Paraio village for its proxy war,</w:t>
      </w:r>
      <w:r w:rsidRPr="00F33937">
        <w:rPr>
          <w:rStyle w:val="FootnoteReference"/>
          <w:rFonts w:ascii="Times New Roman" w:hAnsi="Times New Roman" w:cs="Times New Roman"/>
          <w:sz w:val="24"/>
          <w:szCs w:val="24"/>
        </w:rPr>
        <w:footnoteReference w:id="171"/>
      </w:r>
      <w:r w:rsidRPr="00F33937">
        <w:rPr>
          <w:rFonts w:ascii="Times New Roman" w:hAnsi="Times New Roman" w:cs="Times New Roman"/>
          <w:sz w:val="24"/>
          <w:szCs w:val="24"/>
        </w:rPr>
        <w:t xml:space="preserve"> </w:t>
      </w:r>
      <w:r w:rsidR="00823A51" w:rsidRPr="00F33937">
        <w:rPr>
          <w:rFonts w:ascii="Times New Roman" w:hAnsi="Times New Roman" w:cs="Times New Roman"/>
          <w:sz w:val="24"/>
          <w:szCs w:val="24"/>
        </w:rPr>
        <w:t>thus</w:t>
      </w:r>
      <w:r w:rsidR="002F6541" w:rsidRPr="00F33937">
        <w:rPr>
          <w:rFonts w:ascii="Times New Roman" w:hAnsi="Times New Roman" w:cs="Times New Roman"/>
          <w:sz w:val="24"/>
          <w:szCs w:val="24"/>
        </w:rPr>
        <w:t xml:space="preserve"> limiting</w:t>
      </w:r>
      <w:r w:rsidRPr="00F33937">
        <w:rPr>
          <w:rFonts w:ascii="Times New Roman" w:hAnsi="Times New Roman" w:cs="Times New Roman"/>
          <w:sz w:val="24"/>
          <w:szCs w:val="24"/>
        </w:rPr>
        <w:t xml:space="preserve"> Petitioners’ freedom of movement and residence.</w:t>
      </w:r>
      <w:r w:rsidR="00647D35" w:rsidRPr="00F33937">
        <w:rPr>
          <w:rFonts w:ascii="Times New Roman" w:hAnsi="Times New Roman" w:cs="Times New Roman"/>
          <w:sz w:val="24"/>
          <w:szCs w:val="24"/>
        </w:rPr>
        <w:t xml:space="preserve"> </w:t>
      </w:r>
    </w:p>
    <w:p w14:paraId="49769961" w14:textId="77777777" w:rsidR="00647D35" w:rsidRDefault="00647D35" w:rsidP="00647D35">
      <w:pPr>
        <w:spacing w:line="480" w:lineRule="auto"/>
        <w:contextualSpacing/>
        <w:rPr>
          <w:rFonts w:ascii="Times New Roman" w:hAnsi="Times New Roman" w:cs="Times New Roman"/>
          <w:sz w:val="24"/>
          <w:szCs w:val="24"/>
        </w:rPr>
      </w:pPr>
    </w:p>
    <w:p w14:paraId="45C03B98" w14:textId="77777777" w:rsidR="00A60B1F" w:rsidRPr="00F33937" w:rsidRDefault="00A60B1F" w:rsidP="00647D35">
      <w:pPr>
        <w:spacing w:line="480" w:lineRule="auto"/>
        <w:contextualSpacing/>
        <w:rPr>
          <w:rFonts w:ascii="Times New Roman" w:hAnsi="Times New Roman" w:cs="Times New Roman"/>
          <w:sz w:val="24"/>
          <w:szCs w:val="24"/>
        </w:rPr>
      </w:pPr>
    </w:p>
    <w:p w14:paraId="7442A0F8" w14:textId="6A8F9ABB" w:rsidR="006B5F9B" w:rsidRPr="00F33937" w:rsidRDefault="00AF6C89" w:rsidP="00647D35">
      <w:pPr>
        <w:spacing w:line="480" w:lineRule="auto"/>
        <w:contextualSpacing/>
        <w:rPr>
          <w:rFonts w:ascii="Times New Roman" w:hAnsi="Times New Roman" w:cs="Times New Roman"/>
          <w:sz w:val="24"/>
          <w:szCs w:val="24"/>
        </w:rPr>
      </w:pPr>
      <w:r w:rsidRPr="00F33937">
        <w:rPr>
          <w:rFonts w:ascii="Times New Roman" w:hAnsi="Times New Roman" w:cs="Times New Roman"/>
          <w:b/>
          <w:i/>
          <w:sz w:val="24"/>
          <w:szCs w:val="24"/>
        </w:rPr>
        <w:lastRenderedPageBreak/>
        <w:t>3</w:t>
      </w:r>
      <w:r w:rsidR="00A313EF" w:rsidRPr="00F33937">
        <w:rPr>
          <w:rFonts w:ascii="Times New Roman" w:hAnsi="Times New Roman" w:cs="Times New Roman"/>
          <w:b/>
          <w:i/>
          <w:sz w:val="24"/>
          <w:szCs w:val="24"/>
        </w:rPr>
        <w:t>.8</w:t>
      </w:r>
      <w:r w:rsidR="006B5F9B" w:rsidRPr="00F33937">
        <w:rPr>
          <w:rFonts w:ascii="Times New Roman" w:hAnsi="Times New Roman" w:cs="Times New Roman"/>
          <w:b/>
          <w:i/>
          <w:sz w:val="24"/>
          <w:szCs w:val="24"/>
        </w:rPr>
        <w:t xml:space="preserve"> – RIGHT TO PARTICIPATE IN GOVERNMENT </w:t>
      </w:r>
    </w:p>
    <w:p w14:paraId="77927D97" w14:textId="5EBCC30D" w:rsidR="008A507C" w:rsidRPr="00F33937" w:rsidRDefault="00795982" w:rsidP="006B5F9B">
      <w:pPr>
        <w:spacing w:after="0" w:line="480" w:lineRule="auto"/>
        <w:contextualSpacing/>
        <w:rPr>
          <w:rFonts w:ascii="Times New Roman" w:hAnsi="Times New Roman" w:cs="Times New Roman"/>
          <w:b/>
          <w:i/>
          <w:sz w:val="24"/>
          <w:szCs w:val="24"/>
        </w:rPr>
      </w:pPr>
      <w:r w:rsidRPr="00F33937">
        <w:rPr>
          <w:rFonts w:ascii="Times New Roman" w:hAnsi="Times New Roman" w:cs="Times New Roman"/>
          <w:b/>
          <w:i/>
          <w:sz w:val="24"/>
          <w:szCs w:val="24"/>
        </w:rPr>
        <w:t>The State is Failing Inter-American Democratic Charter Mandate</w:t>
      </w:r>
    </w:p>
    <w:p w14:paraId="3AE88EB0" w14:textId="7CA39914" w:rsidR="00781C74" w:rsidRPr="00F33937" w:rsidRDefault="001628FE" w:rsidP="00781C74">
      <w:pPr>
        <w:pStyle w:val="NormalWeb"/>
      </w:pPr>
      <w:r w:rsidRPr="00F33937">
        <w:tab/>
      </w:r>
      <w:r w:rsidR="00781C74" w:rsidRPr="00F33937">
        <w:t xml:space="preserve">Article 23 of the American Convention on Human Rights states, </w:t>
      </w:r>
    </w:p>
    <w:p w14:paraId="06B6D420" w14:textId="77777777" w:rsidR="00781C74" w:rsidRPr="00F33937" w:rsidRDefault="00781C74" w:rsidP="00781C74">
      <w:pPr>
        <w:pStyle w:val="NormalWeb"/>
        <w:ind w:firstLine="720"/>
      </w:pPr>
      <w:r w:rsidRPr="00F33937">
        <w:t>1.    Every citizen shall enjoy the following rights and opportunities:</w:t>
      </w:r>
    </w:p>
    <w:p w14:paraId="2EF48F77" w14:textId="77777777" w:rsidR="00781C74" w:rsidRPr="00F33937" w:rsidRDefault="00781C74" w:rsidP="00781C74">
      <w:pPr>
        <w:pStyle w:val="NormalWeb"/>
      </w:pPr>
      <w:r w:rsidRPr="00F33937">
        <w:t>a.    to take part in the conduct of public affairs, directly or through freely chosen representatives;</w:t>
      </w:r>
    </w:p>
    <w:p w14:paraId="773098C6" w14:textId="77777777" w:rsidR="00781C74" w:rsidRPr="00F33937" w:rsidRDefault="00781C74" w:rsidP="00781C74">
      <w:pPr>
        <w:pStyle w:val="NormalWeb"/>
      </w:pPr>
      <w:r w:rsidRPr="00F33937">
        <w:t>b.    to vote and to be elected in genuine periodic elections, which shall be by universal and equal suffrage and by secret ballot that guarantees the free expression of the will of the voters; and</w:t>
      </w:r>
    </w:p>
    <w:p w14:paraId="1E61EE40" w14:textId="77777777" w:rsidR="00781C74" w:rsidRPr="00F33937" w:rsidRDefault="00781C74" w:rsidP="00781C74">
      <w:pPr>
        <w:pStyle w:val="NormalWeb"/>
      </w:pPr>
      <w:r w:rsidRPr="00F33937">
        <w:t>c.    to have access, under general conditions of equality, to the public service of his country.</w:t>
      </w:r>
    </w:p>
    <w:p w14:paraId="2DFDCCB7" w14:textId="77777777" w:rsidR="00781C74" w:rsidRPr="00F33937" w:rsidRDefault="00781C74" w:rsidP="00781C74">
      <w:pPr>
        <w:pStyle w:val="NormalWeb"/>
        <w:ind w:firstLine="720"/>
      </w:pPr>
      <w:r w:rsidRPr="00F33937">
        <w:t>2.    The law may regulate the exercise of the rights and opportunities referred to in the preceding paragraph only on the basis of age, nationality, residence, language, education, civil and mental capacity, or sentencing by a competent court in criminal proceedings.</w:t>
      </w:r>
    </w:p>
    <w:p w14:paraId="053B5E59" w14:textId="77777777" w:rsidR="003361ED" w:rsidRPr="00F33937" w:rsidRDefault="003361ED" w:rsidP="006B5F9B">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p>
    <w:p w14:paraId="3B262F8C" w14:textId="64C5EC2C" w:rsidR="006B5F9B" w:rsidRPr="00F33937" w:rsidRDefault="003361ED" w:rsidP="006B5F9B">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8A507C" w:rsidRPr="00F33937">
        <w:rPr>
          <w:rFonts w:ascii="Times New Roman" w:hAnsi="Times New Roman" w:cs="Times New Roman"/>
          <w:sz w:val="24"/>
          <w:szCs w:val="24"/>
        </w:rPr>
        <w:t>One of the Organization of American States’ most cherished value</w:t>
      </w:r>
      <w:r w:rsidR="00A70A55" w:rsidRPr="00F33937">
        <w:rPr>
          <w:rFonts w:ascii="Times New Roman" w:hAnsi="Times New Roman" w:cs="Times New Roman"/>
          <w:sz w:val="24"/>
          <w:szCs w:val="24"/>
        </w:rPr>
        <w:t>s</w:t>
      </w:r>
      <w:r w:rsidR="008A507C" w:rsidRPr="00F33937">
        <w:rPr>
          <w:rFonts w:ascii="Times New Roman" w:hAnsi="Times New Roman" w:cs="Times New Roman"/>
          <w:sz w:val="24"/>
          <w:szCs w:val="24"/>
        </w:rPr>
        <w:t>, foundational to all human rights, is democracy, and the Inter-American system promotes through its every statu</w:t>
      </w:r>
      <w:r w:rsidR="00A70A55" w:rsidRPr="00F33937">
        <w:rPr>
          <w:rFonts w:ascii="Times New Roman" w:hAnsi="Times New Roman" w:cs="Times New Roman"/>
          <w:sz w:val="24"/>
          <w:szCs w:val="24"/>
        </w:rPr>
        <w:t>t</w:t>
      </w:r>
      <w:r w:rsidR="008A507C" w:rsidRPr="00F33937">
        <w:rPr>
          <w:rFonts w:ascii="Times New Roman" w:hAnsi="Times New Roman" w:cs="Times New Roman"/>
          <w:sz w:val="24"/>
          <w:szCs w:val="24"/>
        </w:rPr>
        <w:t xml:space="preserve">e, policy, </w:t>
      </w:r>
      <w:r w:rsidR="00A70A55" w:rsidRPr="00F33937">
        <w:rPr>
          <w:rFonts w:ascii="Times New Roman" w:hAnsi="Times New Roman" w:cs="Times New Roman"/>
          <w:sz w:val="24"/>
          <w:szCs w:val="24"/>
        </w:rPr>
        <w:t xml:space="preserve">approved instrument </w:t>
      </w:r>
      <w:r w:rsidR="008A507C" w:rsidRPr="00F33937">
        <w:rPr>
          <w:rFonts w:ascii="Times New Roman" w:hAnsi="Times New Roman" w:cs="Times New Roman"/>
          <w:sz w:val="24"/>
          <w:szCs w:val="24"/>
        </w:rPr>
        <w:t xml:space="preserve">and procedure the </w:t>
      </w:r>
      <w:r w:rsidR="00A70A55" w:rsidRPr="00F33937">
        <w:rPr>
          <w:rFonts w:ascii="Times New Roman" w:hAnsi="Times New Roman" w:cs="Times New Roman"/>
          <w:sz w:val="24"/>
          <w:szCs w:val="24"/>
        </w:rPr>
        <w:t>ex</w:t>
      </w:r>
      <w:r w:rsidR="00261E1A" w:rsidRPr="00F33937">
        <w:rPr>
          <w:rFonts w:ascii="Times New Roman" w:hAnsi="Times New Roman" w:cs="Times New Roman"/>
          <w:sz w:val="24"/>
          <w:szCs w:val="24"/>
        </w:rPr>
        <w:t xml:space="preserve">pansion of human rights </w:t>
      </w:r>
      <w:r w:rsidR="00A70A55" w:rsidRPr="00F33937">
        <w:rPr>
          <w:rFonts w:ascii="Times New Roman" w:hAnsi="Times New Roman" w:cs="Times New Roman"/>
          <w:sz w:val="24"/>
          <w:szCs w:val="24"/>
        </w:rPr>
        <w:t>upon that foundation.</w:t>
      </w:r>
      <w:r w:rsidR="006506A9" w:rsidRPr="00F33937">
        <w:rPr>
          <w:rFonts w:ascii="Times New Roman" w:hAnsi="Times New Roman" w:cs="Times New Roman"/>
          <w:sz w:val="24"/>
          <w:szCs w:val="24"/>
        </w:rPr>
        <w:t xml:space="preserve"> </w:t>
      </w:r>
      <w:r w:rsidR="00F75833" w:rsidRPr="00F33937">
        <w:rPr>
          <w:rFonts w:ascii="Times New Roman" w:hAnsi="Times New Roman" w:cs="Times New Roman"/>
          <w:sz w:val="24"/>
          <w:szCs w:val="24"/>
        </w:rPr>
        <w:t xml:space="preserve"> </w:t>
      </w:r>
      <w:r w:rsidR="0005724B" w:rsidRPr="00F33937">
        <w:rPr>
          <w:rFonts w:ascii="Times New Roman" w:hAnsi="Times New Roman" w:cs="Times New Roman"/>
          <w:sz w:val="24"/>
          <w:szCs w:val="24"/>
        </w:rPr>
        <w:t>A</w:t>
      </w:r>
      <w:r w:rsidR="00F75833" w:rsidRPr="00F33937">
        <w:rPr>
          <w:rFonts w:ascii="Times New Roman" w:hAnsi="Times New Roman" w:cs="Times New Roman"/>
          <w:sz w:val="24"/>
          <w:szCs w:val="24"/>
        </w:rPr>
        <w:t>rticle 2 of the Inter-American Democratic Charter speaks of the “effective exercise of representative democracy” as the “basis for the rule of law,” and this system of representation is to be among the Member States “strengthened and deepened,” at all times by “ethical and responsible participation of the citizenry within a legal framework conforming to the respective constitutional order.”</w:t>
      </w:r>
      <w:r w:rsidR="00186F30" w:rsidRPr="00F33937">
        <w:rPr>
          <w:rStyle w:val="FootnoteReference"/>
          <w:rFonts w:ascii="Times New Roman" w:hAnsi="Times New Roman" w:cs="Times New Roman"/>
          <w:sz w:val="24"/>
          <w:szCs w:val="24"/>
        </w:rPr>
        <w:footnoteReference w:id="172"/>
      </w:r>
      <w:r w:rsidR="0005724B" w:rsidRPr="00F33937">
        <w:rPr>
          <w:rFonts w:ascii="Times New Roman" w:hAnsi="Times New Roman" w:cs="Times New Roman"/>
          <w:sz w:val="24"/>
          <w:szCs w:val="24"/>
        </w:rPr>
        <w:t xml:space="preserve">  </w:t>
      </w:r>
    </w:p>
    <w:p w14:paraId="60B95FA8" w14:textId="31803787" w:rsidR="007E393F" w:rsidRPr="00F33937" w:rsidRDefault="007E393F" w:rsidP="006B5F9B">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AC1EAE" w:rsidRPr="00F33937">
        <w:rPr>
          <w:rFonts w:ascii="Times New Roman" w:hAnsi="Times New Roman" w:cs="Times New Roman"/>
          <w:sz w:val="24"/>
          <w:szCs w:val="24"/>
        </w:rPr>
        <w:t>Charechia’s</w:t>
      </w:r>
      <w:r w:rsidRPr="00F33937">
        <w:rPr>
          <w:rFonts w:ascii="Times New Roman" w:hAnsi="Times New Roman" w:cs="Times New Roman"/>
          <w:sz w:val="24"/>
          <w:szCs w:val="24"/>
        </w:rPr>
        <w:t xml:space="preserve"> presidential term limits amendment, whose passing would be considered by both the OAS and the UN as akin to a</w:t>
      </w:r>
      <w:r w:rsidR="00AC1EAE" w:rsidRPr="00F33937">
        <w:rPr>
          <w:rFonts w:ascii="Times New Roman" w:hAnsi="Times New Roman" w:cs="Times New Roman"/>
          <w:sz w:val="24"/>
          <w:szCs w:val="24"/>
        </w:rPr>
        <w:t xml:space="preserve"> “constitutional</w:t>
      </w:r>
      <w:r w:rsidRPr="00F33937">
        <w:rPr>
          <w:rFonts w:ascii="Times New Roman" w:hAnsi="Times New Roman" w:cs="Times New Roman"/>
          <w:sz w:val="24"/>
          <w:szCs w:val="24"/>
        </w:rPr>
        <w:t xml:space="preserve"> coup d’état,</w:t>
      </w:r>
      <w:r w:rsidR="00AC1EAE" w:rsidRPr="00F33937">
        <w:rPr>
          <w:rFonts w:ascii="Times New Roman" w:hAnsi="Times New Roman" w:cs="Times New Roman"/>
          <w:sz w:val="24"/>
          <w:szCs w:val="24"/>
        </w:rPr>
        <w:t>”</w:t>
      </w:r>
      <w:r w:rsidRPr="00F33937">
        <w:rPr>
          <w:rStyle w:val="FootnoteReference"/>
          <w:rFonts w:ascii="Times New Roman" w:hAnsi="Times New Roman" w:cs="Times New Roman"/>
          <w:sz w:val="24"/>
          <w:szCs w:val="24"/>
        </w:rPr>
        <w:footnoteReference w:id="173"/>
      </w:r>
      <w:r w:rsidR="00AC1EAE" w:rsidRPr="00F33937">
        <w:rPr>
          <w:rFonts w:ascii="Times New Roman" w:hAnsi="Times New Roman" w:cs="Times New Roman"/>
          <w:sz w:val="24"/>
          <w:szCs w:val="24"/>
        </w:rPr>
        <w:t xml:space="preserve"> </w:t>
      </w:r>
      <w:r w:rsidR="00B55617" w:rsidRPr="00F33937">
        <w:rPr>
          <w:rFonts w:ascii="Times New Roman" w:hAnsi="Times New Roman" w:cs="Times New Roman"/>
          <w:sz w:val="24"/>
          <w:szCs w:val="24"/>
        </w:rPr>
        <w:t>hangs over the Republic’</w:t>
      </w:r>
      <w:r w:rsidR="002F1CA0" w:rsidRPr="00F33937">
        <w:rPr>
          <w:rFonts w:ascii="Times New Roman" w:hAnsi="Times New Roman" w:cs="Times New Roman"/>
          <w:sz w:val="24"/>
          <w:szCs w:val="24"/>
        </w:rPr>
        <w:t xml:space="preserve">s </w:t>
      </w:r>
      <w:r w:rsidR="002F1CA0" w:rsidRPr="00F33937">
        <w:rPr>
          <w:rFonts w:ascii="Times New Roman" w:hAnsi="Times New Roman" w:cs="Times New Roman"/>
          <w:sz w:val="24"/>
          <w:szCs w:val="24"/>
        </w:rPr>
        <w:lastRenderedPageBreak/>
        <w:t xml:space="preserve">membership like a pall.  </w:t>
      </w:r>
      <w:r w:rsidR="004254A6" w:rsidRPr="00F33937">
        <w:rPr>
          <w:rFonts w:ascii="Times New Roman" w:hAnsi="Times New Roman" w:cs="Times New Roman"/>
          <w:sz w:val="24"/>
          <w:szCs w:val="24"/>
        </w:rPr>
        <w:t>Its passing</w:t>
      </w:r>
      <w:r w:rsidR="003361ED" w:rsidRPr="00F33937">
        <w:rPr>
          <w:rFonts w:ascii="Times New Roman" w:hAnsi="Times New Roman" w:cs="Times New Roman"/>
          <w:sz w:val="24"/>
          <w:szCs w:val="24"/>
        </w:rPr>
        <w:t>, at present</w:t>
      </w:r>
      <w:r w:rsidR="002A2DA4">
        <w:rPr>
          <w:rFonts w:ascii="Times New Roman" w:hAnsi="Times New Roman" w:cs="Times New Roman"/>
          <w:sz w:val="24"/>
          <w:szCs w:val="24"/>
        </w:rPr>
        <w:t xml:space="preserve"> for the citizens of voting-</w:t>
      </w:r>
      <w:r w:rsidR="004254A6" w:rsidRPr="00F33937">
        <w:rPr>
          <w:rFonts w:ascii="Times New Roman" w:hAnsi="Times New Roman" w:cs="Times New Roman"/>
          <w:sz w:val="24"/>
          <w:szCs w:val="24"/>
        </w:rPr>
        <w:t>age population</w:t>
      </w:r>
      <w:r w:rsidR="003361ED" w:rsidRPr="00F33937">
        <w:rPr>
          <w:rFonts w:ascii="Times New Roman" w:hAnsi="Times New Roman" w:cs="Times New Roman"/>
          <w:sz w:val="24"/>
          <w:szCs w:val="24"/>
        </w:rPr>
        <w:t xml:space="preserve">, </w:t>
      </w:r>
      <w:r w:rsidR="00157B5A">
        <w:rPr>
          <w:rFonts w:ascii="Times New Roman" w:hAnsi="Times New Roman" w:cs="Times New Roman"/>
          <w:sz w:val="24"/>
          <w:szCs w:val="24"/>
        </w:rPr>
        <w:t>would likely further denigrate (</w:t>
      </w:r>
      <w:r w:rsidR="004254A6" w:rsidRPr="00F33937">
        <w:rPr>
          <w:rFonts w:ascii="Times New Roman" w:hAnsi="Times New Roman" w:cs="Times New Roman"/>
          <w:sz w:val="24"/>
          <w:szCs w:val="24"/>
        </w:rPr>
        <w:t>as the OA</w:t>
      </w:r>
      <w:r w:rsidR="00E35C33" w:rsidRPr="00F33937">
        <w:rPr>
          <w:rFonts w:ascii="Times New Roman" w:hAnsi="Times New Roman" w:cs="Times New Roman"/>
          <w:sz w:val="24"/>
          <w:szCs w:val="24"/>
        </w:rPr>
        <w:t>S Secretary General warned Charechia’s p</w:t>
      </w:r>
      <w:r w:rsidR="00157B5A">
        <w:rPr>
          <w:rFonts w:ascii="Times New Roman" w:hAnsi="Times New Roman" w:cs="Times New Roman"/>
          <w:sz w:val="24"/>
          <w:szCs w:val="24"/>
        </w:rPr>
        <w:t>resident)</w:t>
      </w:r>
      <w:r w:rsidR="00157B5A">
        <w:rPr>
          <w:rStyle w:val="FootnoteReference"/>
          <w:rFonts w:ascii="Times New Roman" w:hAnsi="Times New Roman" w:cs="Times New Roman"/>
          <w:sz w:val="24"/>
          <w:szCs w:val="24"/>
        </w:rPr>
        <w:footnoteReference w:id="174"/>
      </w:r>
      <w:r w:rsidR="004254A6" w:rsidRPr="00F33937">
        <w:rPr>
          <w:rFonts w:ascii="Times New Roman" w:hAnsi="Times New Roman" w:cs="Times New Roman"/>
          <w:sz w:val="24"/>
          <w:szCs w:val="24"/>
        </w:rPr>
        <w:t xml:space="preserve"> “the quality of democracy in the region through undemocratic methods.”</w:t>
      </w:r>
      <w:r w:rsidR="004254A6" w:rsidRPr="00F33937">
        <w:rPr>
          <w:rStyle w:val="FootnoteReference"/>
          <w:rFonts w:ascii="Times New Roman" w:hAnsi="Times New Roman" w:cs="Times New Roman"/>
          <w:sz w:val="24"/>
          <w:szCs w:val="24"/>
        </w:rPr>
        <w:footnoteReference w:id="175"/>
      </w:r>
      <w:r w:rsidR="004254A6" w:rsidRPr="00F33937">
        <w:rPr>
          <w:rFonts w:ascii="Times New Roman" w:hAnsi="Times New Roman" w:cs="Times New Roman"/>
          <w:sz w:val="24"/>
          <w:szCs w:val="24"/>
        </w:rPr>
        <w:t xml:space="preserve">  At-lar</w:t>
      </w:r>
      <w:r w:rsidR="00953C9B" w:rsidRPr="00F33937">
        <w:rPr>
          <w:rFonts w:ascii="Times New Roman" w:hAnsi="Times New Roman" w:cs="Times New Roman"/>
          <w:sz w:val="24"/>
          <w:szCs w:val="24"/>
        </w:rPr>
        <w:t xml:space="preserve">ge </w:t>
      </w:r>
      <w:r w:rsidR="003361ED" w:rsidRPr="00F33937">
        <w:rPr>
          <w:rFonts w:ascii="Times New Roman" w:hAnsi="Times New Roman" w:cs="Times New Roman"/>
          <w:sz w:val="24"/>
          <w:szCs w:val="24"/>
        </w:rPr>
        <w:t xml:space="preserve">legislative </w:t>
      </w:r>
      <w:r w:rsidR="00953C9B" w:rsidRPr="00F33937">
        <w:rPr>
          <w:rFonts w:ascii="Times New Roman" w:hAnsi="Times New Roman" w:cs="Times New Roman"/>
          <w:sz w:val="24"/>
          <w:szCs w:val="24"/>
        </w:rPr>
        <w:t>seats</w:t>
      </w:r>
      <w:r w:rsidR="003361ED" w:rsidRPr="00F33937">
        <w:rPr>
          <w:rStyle w:val="FootnoteReference"/>
          <w:rFonts w:ascii="Times New Roman" w:hAnsi="Times New Roman" w:cs="Times New Roman"/>
          <w:sz w:val="24"/>
          <w:szCs w:val="24"/>
        </w:rPr>
        <w:footnoteReference w:id="176"/>
      </w:r>
      <w:r w:rsidR="00953C9B" w:rsidRPr="00F33937">
        <w:rPr>
          <w:rFonts w:ascii="Times New Roman" w:hAnsi="Times New Roman" w:cs="Times New Roman"/>
          <w:sz w:val="24"/>
          <w:szCs w:val="24"/>
        </w:rPr>
        <w:t xml:space="preserve"> already compromise the potential equality of the Republic’s</w:t>
      </w:r>
      <w:r w:rsidR="004254A6" w:rsidRPr="00F33937">
        <w:rPr>
          <w:rFonts w:ascii="Times New Roman" w:hAnsi="Times New Roman" w:cs="Times New Roman"/>
          <w:sz w:val="24"/>
          <w:szCs w:val="24"/>
        </w:rPr>
        <w:t xml:space="preserve"> </w:t>
      </w:r>
      <w:r w:rsidR="00953C9B" w:rsidRPr="00F33937">
        <w:rPr>
          <w:rFonts w:ascii="Times New Roman" w:hAnsi="Times New Roman" w:cs="Times New Roman"/>
          <w:sz w:val="24"/>
          <w:szCs w:val="24"/>
        </w:rPr>
        <w:t>three internal states.</w:t>
      </w:r>
      <w:r w:rsidR="00B510A5" w:rsidRPr="00F33937">
        <w:rPr>
          <w:rFonts w:ascii="Times New Roman" w:hAnsi="Times New Roman" w:cs="Times New Roman"/>
          <w:sz w:val="24"/>
          <w:szCs w:val="24"/>
        </w:rPr>
        <w:t xml:space="preserve">  </w:t>
      </w:r>
    </w:p>
    <w:p w14:paraId="00208F6A" w14:textId="38917B94" w:rsidR="00B510A5" w:rsidRPr="00F33937" w:rsidRDefault="00B510A5" w:rsidP="006B5F9B">
      <w:pPr>
        <w:spacing w:after="0" w:line="480" w:lineRule="auto"/>
        <w:contextualSpacing/>
        <w:rPr>
          <w:rFonts w:ascii="Times New Roman" w:hAnsi="Times New Roman" w:cs="Times New Roman"/>
          <w:sz w:val="24"/>
          <w:szCs w:val="24"/>
        </w:rPr>
      </w:pPr>
      <w:r w:rsidRPr="00F33937">
        <w:rPr>
          <w:rFonts w:ascii="Times New Roman" w:hAnsi="Times New Roman" w:cs="Times New Roman"/>
          <w:sz w:val="24"/>
          <w:szCs w:val="24"/>
        </w:rPr>
        <w:tab/>
      </w:r>
      <w:r w:rsidR="002A2DA4">
        <w:rPr>
          <w:rFonts w:ascii="Times New Roman" w:hAnsi="Times New Roman" w:cs="Times New Roman"/>
          <w:sz w:val="24"/>
          <w:szCs w:val="24"/>
        </w:rPr>
        <w:t>Article 4 of the C</w:t>
      </w:r>
      <w:r w:rsidR="00446BC3" w:rsidRPr="00F33937">
        <w:rPr>
          <w:rFonts w:ascii="Times New Roman" w:hAnsi="Times New Roman" w:cs="Times New Roman"/>
          <w:sz w:val="24"/>
          <w:szCs w:val="24"/>
        </w:rPr>
        <w:t>harter requires of Member States “transparency in government activities” as “essential components</w:t>
      </w:r>
      <w:r w:rsidR="002A2DA4">
        <w:rPr>
          <w:rFonts w:ascii="Times New Roman" w:hAnsi="Times New Roman" w:cs="Times New Roman"/>
          <w:sz w:val="24"/>
          <w:szCs w:val="24"/>
        </w:rPr>
        <w:t xml:space="preserve"> of the exercise of democracy.”  This aligns with t</w:t>
      </w:r>
      <w:r w:rsidR="00446BC3" w:rsidRPr="00F33937">
        <w:rPr>
          <w:rFonts w:ascii="Times New Roman" w:hAnsi="Times New Roman" w:cs="Times New Roman"/>
          <w:sz w:val="24"/>
          <w:szCs w:val="24"/>
        </w:rPr>
        <w:t xml:space="preserve">he </w:t>
      </w:r>
      <w:r w:rsidR="002A2DA4">
        <w:rPr>
          <w:rFonts w:ascii="Times New Roman" w:hAnsi="Times New Roman" w:cs="Times New Roman"/>
          <w:sz w:val="24"/>
          <w:szCs w:val="24"/>
        </w:rPr>
        <w:t xml:space="preserve">Charter’s </w:t>
      </w:r>
      <w:r w:rsidR="00446BC3" w:rsidRPr="00F33937">
        <w:rPr>
          <w:rFonts w:ascii="Times New Roman" w:hAnsi="Times New Roman" w:cs="Times New Roman"/>
          <w:sz w:val="24"/>
          <w:szCs w:val="24"/>
        </w:rPr>
        <w:t>eternal aim.  However, through nepotism in government appointments,</w:t>
      </w:r>
      <w:r w:rsidR="00446BC3" w:rsidRPr="00F33937">
        <w:rPr>
          <w:rStyle w:val="FootnoteReference"/>
          <w:rFonts w:ascii="Times New Roman" w:hAnsi="Times New Roman" w:cs="Times New Roman"/>
          <w:sz w:val="24"/>
          <w:szCs w:val="24"/>
        </w:rPr>
        <w:footnoteReference w:id="177"/>
      </w:r>
      <w:r w:rsidR="00446BC3" w:rsidRPr="00F33937">
        <w:rPr>
          <w:rFonts w:ascii="Times New Roman" w:hAnsi="Times New Roman" w:cs="Times New Roman"/>
          <w:sz w:val="24"/>
          <w:szCs w:val="24"/>
        </w:rPr>
        <w:t xml:space="preserve"> suspicions of corruption,</w:t>
      </w:r>
      <w:r w:rsidR="00446BC3" w:rsidRPr="00F33937">
        <w:rPr>
          <w:rStyle w:val="FootnoteReference"/>
          <w:rFonts w:ascii="Times New Roman" w:hAnsi="Times New Roman" w:cs="Times New Roman"/>
          <w:sz w:val="24"/>
          <w:szCs w:val="24"/>
        </w:rPr>
        <w:footnoteReference w:id="178"/>
      </w:r>
      <w:r w:rsidR="00446BC3" w:rsidRPr="00F33937">
        <w:rPr>
          <w:rFonts w:ascii="Times New Roman" w:hAnsi="Times New Roman" w:cs="Times New Roman"/>
          <w:sz w:val="24"/>
          <w:szCs w:val="24"/>
        </w:rPr>
        <w:t xml:space="preserve"> and </w:t>
      </w:r>
      <w:r w:rsidR="002A2DA4">
        <w:rPr>
          <w:rFonts w:ascii="Times New Roman" w:hAnsi="Times New Roman" w:cs="Times New Roman"/>
          <w:sz w:val="24"/>
          <w:szCs w:val="24"/>
        </w:rPr>
        <w:t xml:space="preserve">(according to politically-active groups) </w:t>
      </w:r>
      <w:r w:rsidR="00446BC3" w:rsidRPr="00F33937">
        <w:rPr>
          <w:rFonts w:ascii="Times New Roman" w:hAnsi="Times New Roman" w:cs="Times New Roman"/>
          <w:sz w:val="24"/>
          <w:szCs w:val="24"/>
        </w:rPr>
        <w:t>lack of</w:t>
      </w:r>
      <w:r w:rsidR="008F6FDF" w:rsidRPr="00F33937">
        <w:rPr>
          <w:rFonts w:ascii="Times New Roman" w:hAnsi="Times New Roman" w:cs="Times New Roman"/>
          <w:sz w:val="24"/>
          <w:szCs w:val="24"/>
        </w:rPr>
        <w:t xml:space="preserve"> t</w:t>
      </w:r>
      <w:r w:rsidR="002A2DA4">
        <w:rPr>
          <w:rFonts w:ascii="Times New Roman" w:hAnsi="Times New Roman" w:cs="Times New Roman"/>
          <w:sz w:val="24"/>
          <w:szCs w:val="24"/>
        </w:rPr>
        <w:t>ransparency</w:t>
      </w:r>
      <w:r w:rsidR="008F6FDF" w:rsidRPr="00F33937">
        <w:rPr>
          <w:rFonts w:ascii="Times New Roman" w:hAnsi="Times New Roman" w:cs="Times New Roman"/>
          <w:sz w:val="24"/>
          <w:szCs w:val="24"/>
        </w:rPr>
        <w:t>,</w:t>
      </w:r>
      <w:r w:rsidR="00446BC3" w:rsidRPr="00F33937">
        <w:rPr>
          <w:rStyle w:val="FootnoteReference"/>
          <w:rFonts w:ascii="Times New Roman" w:hAnsi="Times New Roman" w:cs="Times New Roman"/>
          <w:sz w:val="24"/>
          <w:szCs w:val="24"/>
        </w:rPr>
        <w:footnoteReference w:id="179"/>
      </w:r>
      <w:r w:rsidR="008F6FDF" w:rsidRPr="00F33937">
        <w:rPr>
          <w:rFonts w:ascii="Times New Roman" w:hAnsi="Times New Roman" w:cs="Times New Roman"/>
          <w:sz w:val="24"/>
          <w:szCs w:val="24"/>
        </w:rPr>
        <w:t xml:space="preserve"> the Republic of Charechia’s </w:t>
      </w:r>
      <w:r w:rsidR="006A41F2" w:rsidRPr="00F33937">
        <w:rPr>
          <w:rFonts w:ascii="Times New Roman" w:hAnsi="Times New Roman" w:cs="Times New Roman"/>
          <w:sz w:val="24"/>
          <w:szCs w:val="24"/>
        </w:rPr>
        <w:t xml:space="preserve">present </w:t>
      </w:r>
      <w:r w:rsidR="008F6FDF" w:rsidRPr="00F33937">
        <w:rPr>
          <w:rFonts w:ascii="Times New Roman" w:hAnsi="Times New Roman" w:cs="Times New Roman"/>
          <w:sz w:val="24"/>
          <w:szCs w:val="24"/>
        </w:rPr>
        <w:t>fulfillment of its democracy obligations seems unlikely.</w:t>
      </w:r>
      <w:r w:rsidR="008C002F" w:rsidRPr="00F33937">
        <w:rPr>
          <w:rFonts w:ascii="Times New Roman" w:hAnsi="Times New Roman" w:cs="Times New Roman"/>
          <w:sz w:val="24"/>
          <w:szCs w:val="24"/>
        </w:rPr>
        <w:t xml:space="preserve">  When read in conjunction with the</w:t>
      </w:r>
      <w:r w:rsidR="006A41F2" w:rsidRPr="00F33937">
        <w:rPr>
          <w:rFonts w:ascii="Times New Roman" w:hAnsi="Times New Roman" w:cs="Times New Roman"/>
          <w:sz w:val="24"/>
          <w:szCs w:val="24"/>
        </w:rPr>
        <w:t xml:space="preserve"> Inter-American</w:t>
      </w:r>
      <w:r w:rsidR="008C002F" w:rsidRPr="00F33937">
        <w:rPr>
          <w:rFonts w:ascii="Times New Roman" w:hAnsi="Times New Roman" w:cs="Times New Roman"/>
          <w:sz w:val="24"/>
          <w:szCs w:val="24"/>
        </w:rPr>
        <w:t xml:space="preserve"> Democratic Charter’s Articles 2 and 4, the State</w:t>
      </w:r>
      <w:r w:rsidR="006A41F2" w:rsidRPr="00F33937">
        <w:rPr>
          <w:rFonts w:ascii="Times New Roman" w:hAnsi="Times New Roman" w:cs="Times New Roman"/>
          <w:sz w:val="24"/>
          <w:szCs w:val="24"/>
        </w:rPr>
        <w:t xml:space="preserve"> therefore</w:t>
      </w:r>
      <w:r w:rsidR="008C002F" w:rsidRPr="00F33937">
        <w:rPr>
          <w:rFonts w:ascii="Times New Roman" w:hAnsi="Times New Roman" w:cs="Times New Roman"/>
          <w:sz w:val="24"/>
          <w:szCs w:val="24"/>
        </w:rPr>
        <w:t xml:space="preserve"> has violated the American Conventio</w:t>
      </w:r>
      <w:r w:rsidR="00AC468E">
        <w:rPr>
          <w:rFonts w:ascii="Times New Roman" w:hAnsi="Times New Roman" w:cs="Times New Roman"/>
          <w:sz w:val="24"/>
          <w:szCs w:val="24"/>
        </w:rPr>
        <w:t>n on Human Rights’ Article 23, the R</w:t>
      </w:r>
      <w:r w:rsidR="008C002F" w:rsidRPr="00F33937">
        <w:rPr>
          <w:rFonts w:ascii="Times New Roman" w:hAnsi="Times New Roman" w:cs="Times New Roman"/>
          <w:sz w:val="24"/>
          <w:szCs w:val="24"/>
        </w:rPr>
        <w:t>ight to Participate in Government.</w:t>
      </w:r>
    </w:p>
    <w:p w14:paraId="41CA3CBB" w14:textId="0688A76E" w:rsidR="002C37E6" w:rsidRPr="00F33937" w:rsidRDefault="00E35C33" w:rsidP="00E35C33">
      <w:pPr>
        <w:rPr>
          <w:rFonts w:ascii="Times New Roman" w:hAnsi="Times New Roman" w:cs="Times New Roman"/>
          <w:sz w:val="24"/>
          <w:szCs w:val="24"/>
        </w:rPr>
      </w:pPr>
      <w:r w:rsidRPr="00F33937">
        <w:rPr>
          <w:rFonts w:ascii="Times New Roman" w:hAnsi="Times New Roman" w:cs="Times New Roman"/>
          <w:sz w:val="24"/>
          <w:szCs w:val="24"/>
        </w:rPr>
        <w:br w:type="page"/>
      </w:r>
    </w:p>
    <w:p w14:paraId="584A3BD8" w14:textId="2207CE27" w:rsidR="00766927" w:rsidRPr="00F33937" w:rsidRDefault="00AF6C89" w:rsidP="00875F31">
      <w:pPr>
        <w:pStyle w:val="Heading1"/>
        <w:ind w:left="0" w:right="43" w:firstLine="0"/>
        <w:jc w:val="left"/>
        <w:rPr>
          <w:color w:val="auto"/>
          <w:szCs w:val="24"/>
        </w:rPr>
      </w:pPr>
      <w:r w:rsidRPr="00F33937">
        <w:rPr>
          <w:color w:val="auto"/>
          <w:szCs w:val="24"/>
        </w:rPr>
        <w:lastRenderedPageBreak/>
        <w:t>4</w:t>
      </w:r>
      <w:r w:rsidR="00766927" w:rsidRPr="00F33937">
        <w:rPr>
          <w:color w:val="auto"/>
          <w:szCs w:val="24"/>
        </w:rPr>
        <w:t xml:space="preserve"> – REQUEST FOR RELIEF </w:t>
      </w:r>
      <w:r w:rsidR="008122AA" w:rsidRPr="00F33937">
        <w:rPr>
          <w:color w:val="auto"/>
          <w:szCs w:val="24"/>
        </w:rPr>
        <w:t xml:space="preserve"> </w:t>
      </w:r>
    </w:p>
    <w:p w14:paraId="74968DB5" w14:textId="77777777" w:rsidR="00766927" w:rsidRPr="00F33937" w:rsidRDefault="00766927" w:rsidP="00875F31">
      <w:pPr>
        <w:spacing w:after="100" w:afterAutospacing="1" w:line="480" w:lineRule="auto"/>
        <w:ind w:left="-5" w:right="43"/>
        <w:contextualSpacing/>
        <w:rPr>
          <w:rFonts w:ascii="Times New Roman" w:hAnsi="Times New Roman" w:cs="Times New Roman"/>
          <w:sz w:val="24"/>
          <w:szCs w:val="24"/>
        </w:rPr>
      </w:pPr>
      <w:r w:rsidRPr="00F33937">
        <w:rPr>
          <w:rFonts w:ascii="Times New Roman" w:hAnsi="Times New Roman" w:cs="Times New Roman"/>
          <w:sz w:val="24"/>
          <w:szCs w:val="24"/>
        </w:rPr>
        <w:t xml:space="preserve">Based on the foregoing submissions, the Petitioner respectfully requests the Court: </w:t>
      </w:r>
    </w:p>
    <w:p w14:paraId="4EC73C09" w14:textId="6E8BD7A2" w:rsidR="00766927" w:rsidRPr="00F33937" w:rsidRDefault="00766927" w:rsidP="00875F31">
      <w:pPr>
        <w:spacing w:after="1" w:line="476" w:lineRule="auto"/>
        <w:ind w:left="720" w:right="43"/>
        <w:rPr>
          <w:rFonts w:ascii="Times New Roman" w:hAnsi="Times New Roman" w:cs="Times New Roman"/>
          <w:sz w:val="24"/>
          <w:szCs w:val="24"/>
        </w:rPr>
      </w:pPr>
      <w:r w:rsidRPr="00F33937">
        <w:rPr>
          <w:rFonts w:ascii="Times New Roman" w:hAnsi="Times New Roman" w:cs="Times New Roman"/>
          <w:sz w:val="24"/>
          <w:szCs w:val="24"/>
        </w:rPr>
        <w:t xml:space="preserve">(a) Declare  the  responsibility  of  the  Republic of </w:t>
      </w:r>
      <w:r w:rsidR="00B43ADE" w:rsidRPr="00F33937">
        <w:rPr>
          <w:rFonts w:ascii="Times New Roman" w:hAnsi="Times New Roman" w:cs="Times New Roman"/>
          <w:sz w:val="24"/>
          <w:szCs w:val="24"/>
        </w:rPr>
        <w:t>Charechia f</w:t>
      </w:r>
      <w:r w:rsidRPr="00F33937">
        <w:rPr>
          <w:rFonts w:ascii="Times New Roman" w:hAnsi="Times New Roman" w:cs="Times New Roman"/>
          <w:sz w:val="24"/>
          <w:szCs w:val="24"/>
        </w:rPr>
        <w:t xml:space="preserve">or  the violation  of  the  rights  enshrined  in  Articles  </w:t>
      </w:r>
      <w:r w:rsidR="00B43ADE" w:rsidRPr="00F33937">
        <w:rPr>
          <w:rFonts w:ascii="Times New Roman" w:hAnsi="Times New Roman" w:cs="Times New Roman"/>
          <w:sz w:val="24"/>
          <w:szCs w:val="24"/>
        </w:rPr>
        <w:t>5, 7, 8, 11, 13, 16, 2</w:t>
      </w:r>
      <w:r w:rsidR="008122AA" w:rsidRPr="00F33937">
        <w:rPr>
          <w:rFonts w:ascii="Times New Roman" w:hAnsi="Times New Roman" w:cs="Times New Roman"/>
          <w:sz w:val="24"/>
          <w:szCs w:val="24"/>
        </w:rPr>
        <w:t>2</w:t>
      </w:r>
      <w:r w:rsidR="00B43ADE" w:rsidRPr="00F33937">
        <w:rPr>
          <w:rFonts w:ascii="Times New Roman" w:hAnsi="Times New Roman" w:cs="Times New Roman"/>
          <w:sz w:val="24"/>
          <w:szCs w:val="24"/>
        </w:rPr>
        <w:t xml:space="preserve"> and 23</w:t>
      </w:r>
      <w:r w:rsidR="001A619B" w:rsidRPr="00F33937">
        <w:rPr>
          <w:rFonts w:ascii="Times New Roman" w:hAnsi="Times New Roman" w:cs="Times New Roman"/>
          <w:sz w:val="24"/>
          <w:szCs w:val="24"/>
        </w:rPr>
        <w:t xml:space="preserve"> of the American Convention on Human Rights, </w:t>
      </w:r>
      <w:r w:rsidRPr="00F33937">
        <w:rPr>
          <w:rFonts w:ascii="Times New Roman" w:hAnsi="Times New Roman" w:cs="Times New Roman"/>
          <w:sz w:val="24"/>
          <w:szCs w:val="24"/>
        </w:rPr>
        <w:t>all read in conju</w:t>
      </w:r>
      <w:r w:rsidR="001A619B" w:rsidRPr="00F33937">
        <w:rPr>
          <w:rFonts w:ascii="Times New Roman" w:hAnsi="Times New Roman" w:cs="Times New Roman"/>
          <w:sz w:val="24"/>
          <w:szCs w:val="24"/>
        </w:rPr>
        <w:t>nction with Articles 1(1) and 2, with respect to petitioning families Guajillo, Ancho, and Po</w:t>
      </w:r>
      <w:r w:rsidR="008122AA" w:rsidRPr="00F33937">
        <w:rPr>
          <w:rFonts w:ascii="Times New Roman" w:hAnsi="Times New Roman" w:cs="Times New Roman"/>
          <w:sz w:val="24"/>
          <w:szCs w:val="24"/>
        </w:rPr>
        <w:t xml:space="preserve">blano and all </w:t>
      </w:r>
      <w:r w:rsidR="00220755">
        <w:rPr>
          <w:rFonts w:ascii="Times New Roman" w:hAnsi="Times New Roman" w:cs="Times New Roman"/>
          <w:sz w:val="24"/>
          <w:szCs w:val="24"/>
        </w:rPr>
        <w:t xml:space="preserve">affected </w:t>
      </w:r>
      <w:r w:rsidR="008122AA" w:rsidRPr="00F33937">
        <w:rPr>
          <w:rFonts w:ascii="Times New Roman" w:hAnsi="Times New Roman" w:cs="Times New Roman"/>
          <w:sz w:val="24"/>
          <w:szCs w:val="24"/>
        </w:rPr>
        <w:t>residents of Paraio.</w:t>
      </w:r>
    </w:p>
    <w:p w14:paraId="7278E252" w14:textId="763E2011" w:rsidR="00761C7C" w:rsidRPr="00F33937" w:rsidRDefault="00761C7C" w:rsidP="00875F31">
      <w:pPr>
        <w:spacing w:after="1" w:line="476" w:lineRule="auto"/>
        <w:ind w:left="720" w:right="43"/>
        <w:rPr>
          <w:rFonts w:ascii="Times New Roman" w:hAnsi="Times New Roman" w:cs="Times New Roman"/>
          <w:sz w:val="24"/>
          <w:szCs w:val="24"/>
        </w:rPr>
      </w:pPr>
      <w:r w:rsidRPr="00F33937">
        <w:rPr>
          <w:rFonts w:ascii="Times New Roman" w:hAnsi="Times New Roman" w:cs="Times New Roman"/>
          <w:sz w:val="24"/>
          <w:szCs w:val="24"/>
        </w:rPr>
        <w:t xml:space="preserve">(b) Order that </w:t>
      </w:r>
      <w:r w:rsidR="000C7117" w:rsidRPr="00F33937">
        <w:rPr>
          <w:rFonts w:ascii="Times New Roman" w:hAnsi="Times New Roman" w:cs="Times New Roman"/>
          <w:sz w:val="24"/>
          <w:szCs w:val="24"/>
        </w:rPr>
        <w:t xml:space="preserve">the </w:t>
      </w:r>
      <w:r w:rsidRPr="00F33937">
        <w:rPr>
          <w:rFonts w:ascii="Times New Roman" w:hAnsi="Times New Roman" w:cs="Times New Roman"/>
          <w:sz w:val="24"/>
          <w:szCs w:val="24"/>
        </w:rPr>
        <w:t>Republic of Charechia</w:t>
      </w:r>
      <w:r w:rsidR="0048098E" w:rsidRPr="00F33937">
        <w:rPr>
          <w:rFonts w:ascii="Times New Roman" w:hAnsi="Times New Roman" w:cs="Times New Roman"/>
          <w:sz w:val="24"/>
          <w:szCs w:val="24"/>
        </w:rPr>
        <w:t xml:space="preserve"> strike down constitutionally unsound legislation, in alignment with the pro-democratic post-2016 election recommendations of the Organization of American States and the United Nations.</w:t>
      </w:r>
      <w:r w:rsidR="00AC6027" w:rsidRPr="00F33937">
        <w:rPr>
          <w:rStyle w:val="FootnoteReference"/>
          <w:rFonts w:ascii="Times New Roman" w:hAnsi="Times New Roman" w:cs="Times New Roman"/>
          <w:sz w:val="24"/>
          <w:szCs w:val="24"/>
        </w:rPr>
        <w:footnoteReference w:id="180"/>
      </w:r>
    </w:p>
    <w:p w14:paraId="03DA0486" w14:textId="4A564DBA" w:rsidR="00875F31" w:rsidRPr="00F33937" w:rsidRDefault="00DA5533" w:rsidP="00875F31">
      <w:pPr>
        <w:spacing w:after="49" w:line="477" w:lineRule="auto"/>
        <w:ind w:right="43"/>
        <w:rPr>
          <w:rFonts w:ascii="Times New Roman" w:hAnsi="Times New Roman" w:cs="Times New Roman"/>
          <w:sz w:val="24"/>
          <w:szCs w:val="24"/>
        </w:rPr>
      </w:pPr>
      <w:r w:rsidRPr="00F33937">
        <w:rPr>
          <w:rFonts w:ascii="Times New Roman" w:hAnsi="Times New Roman" w:cs="Times New Roman"/>
          <w:sz w:val="24"/>
          <w:szCs w:val="24"/>
        </w:rPr>
        <w:tab/>
        <w:t>(</w:t>
      </w:r>
      <w:r w:rsidR="0048098E" w:rsidRPr="00F33937">
        <w:rPr>
          <w:rFonts w:ascii="Times New Roman" w:hAnsi="Times New Roman" w:cs="Times New Roman"/>
          <w:sz w:val="24"/>
          <w:szCs w:val="24"/>
        </w:rPr>
        <w:t>c</w:t>
      </w:r>
      <w:r w:rsidRPr="00F33937">
        <w:rPr>
          <w:rFonts w:ascii="Times New Roman" w:hAnsi="Times New Roman" w:cs="Times New Roman"/>
          <w:sz w:val="24"/>
          <w:szCs w:val="24"/>
        </w:rPr>
        <w:t xml:space="preserve">) </w:t>
      </w:r>
      <w:r w:rsidR="00766927" w:rsidRPr="00F33937">
        <w:rPr>
          <w:rFonts w:ascii="Times New Roman" w:hAnsi="Times New Roman" w:cs="Times New Roman"/>
          <w:sz w:val="24"/>
          <w:szCs w:val="24"/>
        </w:rPr>
        <w:t xml:space="preserve">Order that </w:t>
      </w:r>
      <w:r w:rsidR="000C7117" w:rsidRPr="00F33937">
        <w:rPr>
          <w:rFonts w:ascii="Times New Roman" w:hAnsi="Times New Roman" w:cs="Times New Roman"/>
          <w:sz w:val="24"/>
          <w:szCs w:val="24"/>
        </w:rPr>
        <w:t xml:space="preserve">the </w:t>
      </w:r>
      <w:r w:rsidR="00761C7C" w:rsidRPr="00F33937">
        <w:rPr>
          <w:rFonts w:ascii="Times New Roman" w:hAnsi="Times New Roman" w:cs="Times New Roman"/>
          <w:sz w:val="24"/>
          <w:szCs w:val="24"/>
        </w:rPr>
        <w:t xml:space="preserve">Republic of Charechia </w:t>
      </w:r>
      <w:r w:rsidR="00220755">
        <w:rPr>
          <w:rFonts w:ascii="Times New Roman" w:hAnsi="Times New Roman" w:cs="Times New Roman"/>
          <w:sz w:val="24"/>
          <w:szCs w:val="24"/>
        </w:rPr>
        <w:t>compensate directly all massacre</w:t>
      </w:r>
      <w:r w:rsidR="000C7117" w:rsidRPr="00F33937">
        <w:rPr>
          <w:rFonts w:ascii="Times New Roman" w:hAnsi="Times New Roman" w:cs="Times New Roman"/>
          <w:sz w:val="24"/>
          <w:szCs w:val="24"/>
        </w:rPr>
        <w:t>s</w:t>
      </w:r>
      <w:r w:rsidR="00220755">
        <w:rPr>
          <w:rFonts w:ascii="Times New Roman" w:hAnsi="Times New Roman" w:cs="Times New Roman"/>
          <w:sz w:val="24"/>
          <w:szCs w:val="24"/>
        </w:rPr>
        <w:t>’</w:t>
      </w:r>
      <w:r w:rsidR="000C7117" w:rsidRPr="00F33937">
        <w:rPr>
          <w:rFonts w:ascii="Times New Roman" w:hAnsi="Times New Roman" w:cs="Times New Roman"/>
          <w:sz w:val="24"/>
          <w:szCs w:val="24"/>
        </w:rPr>
        <w:t xml:space="preserve"> </w:t>
      </w:r>
      <w:r w:rsidRPr="00F33937">
        <w:rPr>
          <w:rFonts w:ascii="Times New Roman" w:hAnsi="Times New Roman" w:cs="Times New Roman"/>
          <w:sz w:val="24"/>
          <w:szCs w:val="24"/>
        </w:rPr>
        <w:t>surviving next-of-kin,</w:t>
      </w:r>
      <w:r w:rsidR="00220755">
        <w:rPr>
          <w:rStyle w:val="FootnoteReference"/>
          <w:rFonts w:ascii="Times New Roman" w:hAnsi="Times New Roman" w:cs="Times New Roman"/>
          <w:sz w:val="24"/>
          <w:szCs w:val="24"/>
        </w:rPr>
        <w:footnoteReference w:id="181"/>
      </w:r>
      <w:r w:rsidRPr="00F33937">
        <w:rPr>
          <w:rFonts w:ascii="Times New Roman" w:hAnsi="Times New Roman" w:cs="Times New Roman"/>
          <w:sz w:val="24"/>
          <w:szCs w:val="24"/>
        </w:rPr>
        <w:t xml:space="preserve"> </w:t>
      </w:r>
      <w:r w:rsidR="00766927" w:rsidRPr="00F33937">
        <w:rPr>
          <w:rFonts w:ascii="Times New Roman" w:hAnsi="Times New Roman" w:cs="Times New Roman"/>
          <w:sz w:val="24"/>
          <w:szCs w:val="24"/>
        </w:rPr>
        <w:t>according to the Court’s definition of victims</w:t>
      </w:r>
      <w:r w:rsidR="00766927" w:rsidRPr="00F33937">
        <w:rPr>
          <w:rStyle w:val="FootnoteReference"/>
          <w:rFonts w:ascii="Times New Roman" w:hAnsi="Times New Roman" w:cs="Times New Roman"/>
          <w:sz w:val="24"/>
          <w:szCs w:val="24"/>
        </w:rPr>
        <w:footnoteReference w:id="182"/>
      </w:r>
      <w:r w:rsidR="008122AA" w:rsidRPr="00F33937">
        <w:rPr>
          <w:rFonts w:ascii="Times New Roman" w:hAnsi="Times New Roman" w:cs="Times New Roman"/>
          <w:sz w:val="24"/>
          <w:szCs w:val="24"/>
        </w:rPr>
        <w:t xml:space="preserve"> and in </w:t>
      </w:r>
      <w:r w:rsidRPr="00F33937">
        <w:rPr>
          <w:rFonts w:ascii="Times New Roman" w:hAnsi="Times New Roman" w:cs="Times New Roman"/>
          <w:sz w:val="24"/>
          <w:szCs w:val="24"/>
        </w:rPr>
        <w:t>the denomination identical to the Republic of Charechia’s Executive August 2017 award</w:t>
      </w:r>
      <w:r w:rsidR="00766927" w:rsidRPr="00F33937">
        <w:rPr>
          <w:rFonts w:ascii="Times New Roman" w:hAnsi="Times New Roman" w:cs="Times New Roman"/>
          <w:sz w:val="24"/>
          <w:szCs w:val="24"/>
        </w:rPr>
        <w:t>,</w:t>
      </w:r>
      <w:r w:rsidRPr="00F33937">
        <w:rPr>
          <w:rStyle w:val="FootnoteReference"/>
          <w:rFonts w:ascii="Times New Roman" w:hAnsi="Times New Roman" w:cs="Times New Roman"/>
          <w:sz w:val="24"/>
          <w:szCs w:val="24"/>
        </w:rPr>
        <w:footnoteReference w:id="183"/>
      </w:r>
      <w:r w:rsidR="007B0860">
        <w:rPr>
          <w:rFonts w:ascii="Times New Roman" w:hAnsi="Times New Roman" w:cs="Times New Roman"/>
          <w:sz w:val="24"/>
          <w:szCs w:val="24"/>
        </w:rPr>
        <w:t xml:space="preserve"> for </w:t>
      </w:r>
      <w:r w:rsidR="00766927" w:rsidRPr="00F33937">
        <w:rPr>
          <w:rFonts w:ascii="Times New Roman" w:hAnsi="Times New Roman" w:cs="Times New Roman"/>
          <w:sz w:val="24"/>
          <w:szCs w:val="24"/>
        </w:rPr>
        <w:t xml:space="preserve">the total </w:t>
      </w:r>
      <w:r w:rsidRPr="00F33937">
        <w:rPr>
          <w:rFonts w:ascii="Times New Roman" w:hAnsi="Times New Roman" w:cs="Times New Roman"/>
          <w:sz w:val="24"/>
          <w:szCs w:val="24"/>
        </w:rPr>
        <w:t>non-</w:t>
      </w:r>
      <w:r w:rsidR="00766927" w:rsidRPr="00F33937">
        <w:rPr>
          <w:rFonts w:ascii="Times New Roman" w:hAnsi="Times New Roman" w:cs="Times New Roman"/>
          <w:sz w:val="24"/>
          <w:szCs w:val="24"/>
        </w:rPr>
        <w:t xml:space="preserve">pecuniary damages </w:t>
      </w:r>
      <w:r w:rsidR="007B0860">
        <w:rPr>
          <w:rFonts w:ascii="Times New Roman" w:hAnsi="Times New Roman" w:cs="Times New Roman"/>
          <w:sz w:val="24"/>
          <w:szCs w:val="24"/>
        </w:rPr>
        <w:t xml:space="preserve">amount </w:t>
      </w:r>
      <w:r w:rsidR="00766927" w:rsidRPr="00F33937">
        <w:rPr>
          <w:rFonts w:ascii="Times New Roman" w:hAnsi="Times New Roman" w:cs="Times New Roman"/>
          <w:sz w:val="24"/>
          <w:szCs w:val="24"/>
        </w:rPr>
        <w:t xml:space="preserve">of </w:t>
      </w:r>
      <w:r w:rsidRPr="00F33937">
        <w:rPr>
          <w:rFonts w:ascii="Times New Roman" w:hAnsi="Times New Roman" w:cs="Times New Roman"/>
          <w:sz w:val="24"/>
          <w:szCs w:val="24"/>
        </w:rPr>
        <w:t>$200,000</w:t>
      </w:r>
      <w:r w:rsidR="00875F31" w:rsidRPr="00F33937">
        <w:rPr>
          <w:rFonts w:ascii="Times New Roman" w:hAnsi="Times New Roman" w:cs="Times New Roman"/>
          <w:sz w:val="24"/>
          <w:szCs w:val="24"/>
        </w:rPr>
        <w:t xml:space="preserve"> per family of each</w:t>
      </w:r>
      <w:r w:rsidR="00766927" w:rsidRPr="00F33937">
        <w:rPr>
          <w:rFonts w:ascii="Times New Roman" w:hAnsi="Times New Roman" w:cs="Times New Roman"/>
          <w:sz w:val="24"/>
          <w:szCs w:val="24"/>
        </w:rPr>
        <w:t xml:space="preserve"> </w:t>
      </w:r>
      <w:r w:rsidR="00F7760A">
        <w:rPr>
          <w:rFonts w:ascii="Times New Roman" w:hAnsi="Times New Roman" w:cs="Times New Roman"/>
          <w:sz w:val="24"/>
          <w:szCs w:val="24"/>
        </w:rPr>
        <w:t>massacre</w:t>
      </w:r>
      <w:r w:rsidRPr="00F33937">
        <w:rPr>
          <w:rFonts w:ascii="Times New Roman" w:hAnsi="Times New Roman" w:cs="Times New Roman"/>
          <w:sz w:val="24"/>
          <w:szCs w:val="24"/>
        </w:rPr>
        <w:t xml:space="preserve"> victim.</w:t>
      </w:r>
      <w:r w:rsidR="00766927" w:rsidRPr="00F33937">
        <w:rPr>
          <w:rFonts w:ascii="Times New Roman" w:hAnsi="Times New Roman" w:cs="Times New Roman"/>
          <w:sz w:val="24"/>
          <w:szCs w:val="24"/>
        </w:rPr>
        <w:t xml:space="preserve"> </w:t>
      </w:r>
    </w:p>
    <w:p w14:paraId="4C56F2AC" w14:textId="6BF0C48A" w:rsidR="00766927" w:rsidRPr="00F33937" w:rsidRDefault="00875F31" w:rsidP="00875F31">
      <w:pPr>
        <w:spacing w:after="49" w:line="477" w:lineRule="auto"/>
        <w:ind w:right="43"/>
        <w:rPr>
          <w:rFonts w:ascii="Times New Roman" w:hAnsi="Times New Roman" w:cs="Times New Roman"/>
          <w:sz w:val="24"/>
          <w:szCs w:val="24"/>
        </w:rPr>
      </w:pPr>
      <w:r w:rsidRPr="00F33937">
        <w:rPr>
          <w:rFonts w:ascii="Times New Roman" w:hAnsi="Times New Roman" w:cs="Times New Roman"/>
          <w:sz w:val="24"/>
          <w:szCs w:val="24"/>
        </w:rPr>
        <w:tab/>
        <w:t>(</w:t>
      </w:r>
      <w:r w:rsidR="0048098E" w:rsidRPr="00F33937">
        <w:rPr>
          <w:rFonts w:ascii="Times New Roman" w:hAnsi="Times New Roman" w:cs="Times New Roman"/>
          <w:sz w:val="24"/>
          <w:szCs w:val="24"/>
        </w:rPr>
        <w:t>d</w:t>
      </w:r>
      <w:r w:rsidRPr="00F33937">
        <w:rPr>
          <w:rFonts w:ascii="Times New Roman" w:hAnsi="Times New Roman" w:cs="Times New Roman"/>
          <w:sz w:val="24"/>
          <w:szCs w:val="24"/>
        </w:rPr>
        <w:t xml:space="preserve">) Order that </w:t>
      </w:r>
      <w:r w:rsidR="00F77469" w:rsidRPr="00F33937">
        <w:rPr>
          <w:rFonts w:ascii="Times New Roman" w:hAnsi="Times New Roman" w:cs="Times New Roman"/>
          <w:sz w:val="24"/>
          <w:szCs w:val="24"/>
        </w:rPr>
        <w:t xml:space="preserve">the Republic of Charechia </w:t>
      </w:r>
      <w:r w:rsidRPr="00F33937">
        <w:rPr>
          <w:rFonts w:ascii="Times New Roman" w:hAnsi="Times New Roman" w:cs="Times New Roman"/>
          <w:sz w:val="24"/>
          <w:szCs w:val="24"/>
        </w:rPr>
        <w:t>compensate these beneficiaries of the reparations wit</w:t>
      </w:r>
      <w:r w:rsidR="0078496C" w:rsidRPr="00F33937">
        <w:rPr>
          <w:rFonts w:ascii="Times New Roman" w:hAnsi="Times New Roman" w:cs="Times New Roman"/>
          <w:sz w:val="24"/>
          <w:szCs w:val="24"/>
        </w:rPr>
        <w:t xml:space="preserve">h </w:t>
      </w:r>
      <w:r w:rsidR="006903EF" w:rsidRPr="00F33937">
        <w:rPr>
          <w:rFonts w:ascii="Times New Roman" w:hAnsi="Times New Roman" w:cs="Times New Roman"/>
          <w:sz w:val="24"/>
          <w:szCs w:val="24"/>
        </w:rPr>
        <w:t xml:space="preserve">pecuniary damages, each family’s </w:t>
      </w:r>
      <w:r w:rsidRPr="00F33937">
        <w:rPr>
          <w:rFonts w:ascii="Times New Roman" w:hAnsi="Times New Roman" w:cs="Times New Roman"/>
          <w:sz w:val="24"/>
          <w:szCs w:val="24"/>
        </w:rPr>
        <w:t xml:space="preserve">total </w:t>
      </w:r>
      <w:r w:rsidR="006903EF" w:rsidRPr="00F33937">
        <w:rPr>
          <w:rFonts w:ascii="Times New Roman" w:hAnsi="Times New Roman" w:cs="Times New Roman"/>
          <w:sz w:val="24"/>
          <w:szCs w:val="24"/>
        </w:rPr>
        <w:t xml:space="preserve">sum to be multiplied against </w:t>
      </w:r>
      <w:r w:rsidR="00A3545A">
        <w:rPr>
          <w:rFonts w:ascii="Times New Roman" w:hAnsi="Times New Roman" w:cs="Times New Roman"/>
          <w:sz w:val="24"/>
          <w:szCs w:val="24"/>
        </w:rPr>
        <w:t xml:space="preserve">the </w:t>
      </w:r>
      <w:r w:rsidR="006903EF" w:rsidRPr="00F33937">
        <w:rPr>
          <w:rFonts w:ascii="Times New Roman" w:hAnsi="Times New Roman" w:cs="Times New Roman"/>
          <w:sz w:val="24"/>
          <w:szCs w:val="24"/>
        </w:rPr>
        <w:t>number of relatives executed</w:t>
      </w:r>
      <w:r w:rsidR="00F35A47" w:rsidRPr="00F33937">
        <w:rPr>
          <w:rFonts w:ascii="Times New Roman" w:hAnsi="Times New Roman" w:cs="Times New Roman"/>
          <w:sz w:val="24"/>
          <w:szCs w:val="24"/>
        </w:rPr>
        <w:t xml:space="preserve"> per family</w:t>
      </w:r>
      <w:r w:rsidR="006903EF" w:rsidRPr="00F33937">
        <w:rPr>
          <w:rFonts w:ascii="Times New Roman" w:hAnsi="Times New Roman" w:cs="Times New Roman"/>
          <w:sz w:val="24"/>
          <w:szCs w:val="24"/>
        </w:rPr>
        <w:t>, and</w:t>
      </w:r>
      <w:r w:rsidRPr="00F33937">
        <w:rPr>
          <w:rFonts w:ascii="Times New Roman" w:hAnsi="Times New Roman" w:cs="Times New Roman"/>
          <w:sz w:val="24"/>
          <w:szCs w:val="24"/>
        </w:rPr>
        <w:t xml:space="preserve"> </w:t>
      </w:r>
      <w:r w:rsidR="00766927" w:rsidRPr="00F33937">
        <w:rPr>
          <w:rFonts w:ascii="Times New Roman" w:hAnsi="Times New Roman" w:cs="Times New Roman"/>
          <w:sz w:val="24"/>
          <w:szCs w:val="24"/>
        </w:rPr>
        <w:t>based upon:</w:t>
      </w:r>
    </w:p>
    <w:p w14:paraId="60B5DC02" w14:textId="0598E054" w:rsidR="00766927" w:rsidRPr="00F33937" w:rsidRDefault="00766927" w:rsidP="00875F31">
      <w:pPr>
        <w:pStyle w:val="ListParagraph"/>
        <w:numPr>
          <w:ilvl w:val="2"/>
          <w:numId w:val="4"/>
        </w:numPr>
        <w:spacing w:after="49" w:line="477" w:lineRule="auto"/>
        <w:ind w:right="43"/>
        <w:rPr>
          <w:rFonts w:ascii="Times New Roman" w:hAnsi="Times New Roman" w:cs="Times New Roman"/>
          <w:sz w:val="24"/>
          <w:szCs w:val="24"/>
        </w:rPr>
      </w:pPr>
      <w:r w:rsidRPr="00F33937">
        <w:rPr>
          <w:rFonts w:ascii="Times New Roman" w:hAnsi="Times New Roman" w:cs="Times New Roman"/>
          <w:sz w:val="24"/>
          <w:szCs w:val="24"/>
        </w:rPr>
        <w:t xml:space="preserve">the </w:t>
      </w:r>
      <w:r w:rsidR="00377912" w:rsidRPr="00F33937">
        <w:rPr>
          <w:rFonts w:ascii="Times New Roman" w:hAnsi="Times New Roman" w:cs="Times New Roman"/>
          <w:sz w:val="24"/>
          <w:szCs w:val="24"/>
        </w:rPr>
        <w:t>2018 Charechian average monthly income</w:t>
      </w:r>
    </w:p>
    <w:p w14:paraId="3BC6157D" w14:textId="7D55DFC9" w:rsidR="00766927" w:rsidRPr="00F33937" w:rsidRDefault="00766927" w:rsidP="00875F31">
      <w:pPr>
        <w:pStyle w:val="ListParagraph"/>
        <w:numPr>
          <w:ilvl w:val="2"/>
          <w:numId w:val="4"/>
        </w:numPr>
        <w:spacing w:after="49" w:line="477" w:lineRule="auto"/>
        <w:ind w:right="43"/>
        <w:rPr>
          <w:rFonts w:ascii="Times New Roman" w:hAnsi="Times New Roman" w:cs="Times New Roman"/>
          <w:sz w:val="24"/>
          <w:szCs w:val="24"/>
        </w:rPr>
      </w:pPr>
      <w:r w:rsidRPr="00F33937">
        <w:rPr>
          <w:rFonts w:ascii="Times New Roman" w:hAnsi="Times New Roman" w:cs="Times New Roman"/>
          <w:sz w:val="24"/>
          <w:szCs w:val="24"/>
        </w:rPr>
        <w:t>the average lifespan—and thus, potent</w:t>
      </w:r>
      <w:r w:rsidR="00131AD1" w:rsidRPr="00F33937">
        <w:rPr>
          <w:rFonts w:ascii="Times New Roman" w:hAnsi="Times New Roman" w:cs="Times New Roman"/>
          <w:sz w:val="24"/>
          <w:szCs w:val="24"/>
        </w:rPr>
        <w:t xml:space="preserve">ial working years remaining—of each adult decedent </w:t>
      </w:r>
    </w:p>
    <w:p w14:paraId="551A1A81" w14:textId="5AA5ED42" w:rsidR="00766927" w:rsidRPr="00F33937" w:rsidRDefault="00766927" w:rsidP="00005C66">
      <w:pPr>
        <w:pStyle w:val="ListParagraph"/>
        <w:numPr>
          <w:ilvl w:val="2"/>
          <w:numId w:val="4"/>
        </w:numPr>
        <w:spacing w:after="49" w:line="477" w:lineRule="auto"/>
        <w:ind w:right="43"/>
        <w:rPr>
          <w:rFonts w:ascii="Times New Roman" w:hAnsi="Times New Roman" w:cs="Times New Roman"/>
          <w:sz w:val="24"/>
          <w:szCs w:val="24"/>
        </w:rPr>
      </w:pPr>
      <w:r w:rsidRPr="00F33937">
        <w:rPr>
          <w:rFonts w:ascii="Times New Roman" w:hAnsi="Times New Roman" w:cs="Times New Roman"/>
          <w:sz w:val="24"/>
          <w:szCs w:val="24"/>
        </w:rPr>
        <w:t>the undue burden of loss of pot</w:t>
      </w:r>
      <w:r w:rsidR="00C42EB5" w:rsidRPr="00F33937">
        <w:rPr>
          <w:rFonts w:ascii="Times New Roman" w:hAnsi="Times New Roman" w:cs="Times New Roman"/>
          <w:sz w:val="24"/>
          <w:szCs w:val="24"/>
        </w:rPr>
        <w:t>ential earnings</w:t>
      </w:r>
      <w:r w:rsidRPr="00F33937">
        <w:rPr>
          <w:rStyle w:val="FootnoteReference"/>
          <w:rFonts w:ascii="Times New Roman" w:hAnsi="Times New Roman" w:cs="Times New Roman"/>
          <w:sz w:val="24"/>
          <w:szCs w:val="24"/>
        </w:rPr>
        <w:footnoteReference w:id="184"/>
      </w:r>
      <w:r w:rsidRPr="00F33937">
        <w:rPr>
          <w:rFonts w:ascii="Times New Roman" w:hAnsi="Times New Roman" w:cs="Times New Roman"/>
          <w:sz w:val="24"/>
          <w:szCs w:val="24"/>
        </w:rPr>
        <w:t xml:space="preserve"> </w:t>
      </w:r>
    </w:p>
    <w:p w14:paraId="6577A319" w14:textId="427C8642" w:rsidR="00766927" w:rsidRPr="00F33937" w:rsidRDefault="00005C66" w:rsidP="00AA6775">
      <w:pPr>
        <w:spacing w:after="0" w:line="487" w:lineRule="auto"/>
        <w:ind w:right="43"/>
        <w:rPr>
          <w:rFonts w:ascii="Times New Roman" w:hAnsi="Times New Roman" w:cs="Times New Roman"/>
          <w:sz w:val="24"/>
          <w:szCs w:val="24"/>
        </w:rPr>
      </w:pPr>
      <w:r w:rsidRPr="00F33937">
        <w:rPr>
          <w:rFonts w:ascii="Times New Roman" w:hAnsi="Times New Roman" w:cs="Times New Roman"/>
          <w:sz w:val="24"/>
          <w:szCs w:val="24"/>
        </w:rPr>
        <w:lastRenderedPageBreak/>
        <w:tab/>
        <w:t xml:space="preserve">(e) </w:t>
      </w:r>
      <w:r w:rsidR="00766927" w:rsidRPr="00F33937">
        <w:rPr>
          <w:rFonts w:ascii="Times New Roman" w:hAnsi="Times New Roman" w:cs="Times New Roman"/>
          <w:sz w:val="24"/>
          <w:szCs w:val="24"/>
        </w:rPr>
        <w:t xml:space="preserve">In accordance with the Commission’s </w:t>
      </w:r>
      <w:r w:rsidR="008B07C6" w:rsidRPr="00F33937">
        <w:rPr>
          <w:rFonts w:ascii="Times New Roman" w:hAnsi="Times New Roman" w:cs="Times New Roman"/>
          <w:sz w:val="24"/>
          <w:szCs w:val="24"/>
        </w:rPr>
        <w:t xml:space="preserve">June 10, 2019 </w:t>
      </w:r>
      <w:r w:rsidR="00766927" w:rsidRPr="00F33937">
        <w:rPr>
          <w:rFonts w:ascii="Times New Roman" w:hAnsi="Times New Roman" w:cs="Times New Roman"/>
          <w:sz w:val="24"/>
          <w:szCs w:val="24"/>
        </w:rPr>
        <w:t xml:space="preserve">findings, </w:t>
      </w:r>
      <w:r w:rsidR="008C2CAC" w:rsidRPr="00F33937">
        <w:rPr>
          <w:rFonts w:ascii="Times New Roman" w:hAnsi="Times New Roman" w:cs="Times New Roman"/>
          <w:sz w:val="24"/>
          <w:szCs w:val="24"/>
        </w:rPr>
        <w:t>t</w:t>
      </w:r>
      <w:r w:rsidR="00172B1C" w:rsidRPr="00F33937">
        <w:rPr>
          <w:rFonts w:ascii="Times New Roman" w:hAnsi="Times New Roman" w:cs="Times New Roman"/>
          <w:sz w:val="24"/>
          <w:szCs w:val="24"/>
        </w:rPr>
        <w:t>oward prevention of recurrence of human rights violations</w:t>
      </w:r>
      <w:r w:rsidR="00AA6775" w:rsidRPr="00F33937">
        <w:rPr>
          <w:rFonts w:ascii="Times New Roman" w:hAnsi="Times New Roman" w:cs="Times New Roman"/>
          <w:sz w:val="24"/>
          <w:szCs w:val="24"/>
        </w:rPr>
        <w:t>,</w:t>
      </w:r>
      <w:r w:rsidR="00172B1C" w:rsidRPr="00F33937">
        <w:rPr>
          <w:rFonts w:ascii="Times New Roman" w:hAnsi="Times New Roman" w:cs="Times New Roman"/>
          <w:sz w:val="24"/>
          <w:szCs w:val="24"/>
        </w:rPr>
        <w:t xml:space="preserve"> </w:t>
      </w:r>
      <w:r w:rsidR="0010708D" w:rsidRPr="00F33937">
        <w:rPr>
          <w:rFonts w:ascii="Times New Roman" w:hAnsi="Times New Roman" w:cs="Times New Roman"/>
          <w:sz w:val="24"/>
          <w:szCs w:val="24"/>
        </w:rPr>
        <w:t xml:space="preserve">Petitioners request the Court </w:t>
      </w:r>
      <w:r w:rsidR="00766927" w:rsidRPr="00F33937">
        <w:rPr>
          <w:rFonts w:ascii="Times New Roman" w:hAnsi="Times New Roman" w:cs="Times New Roman"/>
          <w:sz w:val="24"/>
          <w:szCs w:val="24"/>
        </w:rPr>
        <w:t xml:space="preserve">Order the Republic </w:t>
      </w:r>
      <w:r w:rsidR="008B07C6" w:rsidRPr="00F33937">
        <w:rPr>
          <w:rFonts w:ascii="Times New Roman" w:hAnsi="Times New Roman" w:cs="Times New Roman"/>
          <w:sz w:val="24"/>
          <w:szCs w:val="24"/>
        </w:rPr>
        <w:t>of Charechia</w:t>
      </w:r>
      <w:r w:rsidR="00172B1C" w:rsidRPr="00F33937">
        <w:rPr>
          <w:rFonts w:ascii="Times New Roman" w:hAnsi="Times New Roman" w:cs="Times New Roman"/>
          <w:sz w:val="24"/>
          <w:szCs w:val="24"/>
        </w:rPr>
        <w:t>:</w:t>
      </w:r>
    </w:p>
    <w:p w14:paraId="247C9CE1" w14:textId="3143AAC3" w:rsidR="0010708D" w:rsidRPr="00F33937" w:rsidRDefault="008B07C6" w:rsidP="00F34F07">
      <w:pPr>
        <w:pStyle w:val="ListParagraph"/>
        <w:numPr>
          <w:ilvl w:val="0"/>
          <w:numId w:val="5"/>
        </w:numPr>
        <w:spacing w:after="0" w:line="487" w:lineRule="auto"/>
        <w:ind w:right="43"/>
        <w:rPr>
          <w:rFonts w:ascii="Times New Roman" w:hAnsi="Times New Roman" w:cs="Times New Roman"/>
          <w:sz w:val="24"/>
          <w:szCs w:val="24"/>
        </w:rPr>
      </w:pPr>
      <w:r w:rsidRPr="00F33937">
        <w:rPr>
          <w:rFonts w:ascii="Times New Roman" w:hAnsi="Times New Roman" w:cs="Times New Roman"/>
          <w:sz w:val="24"/>
          <w:szCs w:val="24"/>
        </w:rPr>
        <w:t>immediately cease all military raids on villages for any purpose</w:t>
      </w:r>
      <w:r w:rsidR="00766927" w:rsidRPr="00F33937">
        <w:rPr>
          <w:rFonts w:ascii="Times New Roman" w:hAnsi="Times New Roman" w:cs="Times New Roman"/>
          <w:sz w:val="24"/>
          <w:szCs w:val="24"/>
        </w:rPr>
        <w:t>.</w:t>
      </w:r>
      <w:r w:rsidR="00766927" w:rsidRPr="00F33937">
        <w:rPr>
          <w:rStyle w:val="FootnoteReference"/>
          <w:rFonts w:ascii="Times New Roman" w:hAnsi="Times New Roman" w:cs="Times New Roman"/>
          <w:sz w:val="24"/>
          <w:szCs w:val="24"/>
        </w:rPr>
        <w:footnoteReference w:id="185"/>
      </w:r>
      <w:r w:rsidR="00766927" w:rsidRPr="00F33937">
        <w:rPr>
          <w:rFonts w:ascii="Times New Roman" w:hAnsi="Times New Roman" w:cs="Times New Roman"/>
          <w:sz w:val="24"/>
          <w:szCs w:val="24"/>
        </w:rPr>
        <w:t xml:space="preserve"> </w:t>
      </w:r>
    </w:p>
    <w:p w14:paraId="6161A803" w14:textId="2CEF74BA" w:rsidR="001774F3" w:rsidRPr="00F33937" w:rsidRDefault="005E4366" w:rsidP="00F34F07">
      <w:pPr>
        <w:pStyle w:val="ListParagraph"/>
        <w:numPr>
          <w:ilvl w:val="0"/>
          <w:numId w:val="5"/>
        </w:numPr>
        <w:spacing w:after="0" w:line="487" w:lineRule="auto"/>
        <w:ind w:right="43"/>
        <w:rPr>
          <w:rFonts w:ascii="Times New Roman" w:hAnsi="Times New Roman" w:cs="Times New Roman"/>
          <w:sz w:val="24"/>
          <w:szCs w:val="24"/>
        </w:rPr>
      </w:pPr>
      <w:r w:rsidRPr="00F33937">
        <w:rPr>
          <w:rFonts w:ascii="Times New Roman" w:hAnsi="Times New Roman" w:cs="Times New Roman"/>
          <w:sz w:val="24"/>
          <w:szCs w:val="24"/>
        </w:rPr>
        <w:t>submit its OAS membership to General Assembly special session for the determination of suspension</w:t>
      </w:r>
      <w:r w:rsidR="001774F3" w:rsidRPr="00F33937">
        <w:rPr>
          <w:rFonts w:ascii="Times New Roman" w:hAnsi="Times New Roman" w:cs="Times New Roman"/>
          <w:sz w:val="24"/>
          <w:szCs w:val="24"/>
        </w:rPr>
        <w:t>, in compliance with Inter-American Democratic Charter A</w:t>
      </w:r>
      <w:r w:rsidRPr="00F33937">
        <w:rPr>
          <w:rFonts w:ascii="Times New Roman" w:hAnsi="Times New Roman" w:cs="Times New Roman"/>
          <w:sz w:val="24"/>
          <w:szCs w:val="24"/>
        </w:rPr>
        <w:t>rticle 21, until democracy in the Republic of Charechia has been determined by the OAS to have been restored.</w:t>
      </w:r>
    </w:p>
    <w:p w14:paraId="39B8E6ED" w14:textId="4970C0BD" w:rsidR="00766927" w:rsidRPr="00F33937" w:rsidRDefault="00766927" w:rsidP="00F34F07">
      <w:pPr>
        <w:pStyle w:val="ListParagraph"/>
        <w:numPr>
          <w:ilvl w:val="0"/>
          <w:numId w:val="5"/>
        </w:numPr>
        <w:spacing w:after="0" w:line="487" w:lineRule="auto"/>
        <w:ind w:right="43"/>
        <w:rPr>
          <w:rFonts w:ascii="Times New Roman" w:hAnsi="Times New Roman" w:cs="Times New Roman"/>
          <w:sz w:val="24"/>
          <w:szCs w:val="24"/>
        </w:rPr>
      </w:pPr>
      <w:r w:rsidRPr="00F33937">
        <w:rPr>
          <w:rFonts w:ascii="Times New Roman" w:hAnsi="Times New Roman" w:cs="Times New Roman"/>
          <w:sz w:val="24"/>
          <w:szCs w:val="24"/>
        </w:rPr>
        <w:t xml:space="preserve">develop </w:t>
      </w:r>
      <w:r w:rsidR="00270E25" w:rsidRPr="00F33937">
        <w:rPr>
          <w:rFonts w:ascii="Times New Roman" w:hAnsi="Times New Roman" w:cs="Times New Roman"/>
          <w:sz w:val="24"/>
          <w:szCs w:val="24"/>
        </w:rPr>
        <w:t>structure establishing municipal and secondary courts</w:t>
      </w:r>
      <w:r w:rsidR="0010708D" w:rsidRPr="00F33937">
        <w:rPr>
          <w:rFonts w:ascii="Times New Roman" w:hAnsi="Times New Roman" w:cs="Times New Roman"/>
          <w:sz w:val="24"/>
          <w:szCs w:val="24"/>
        </w:rPr>
        <w:t xml:space="preserve"> throughout the province of Western Charechia</w:t>
      </w:r>
      <w:r w:rsidR="008C2CAC" w:rsidRPr="00F33937">
        <w:rPr>
          <w:rFonts w:ascii="Times New Roman" w:hAnsi="Times New Roman" w:cs="Times New Roman"/>
          <w:sz w:val="24"/>
          <w:szCs w:val="24"/>
        </w:rPr>
        <w:t xml:space="preserve"> and Charechia Noresta</w:t>
      </w:r>
      <w:r w:rsidR="0010708D" w:rsidRPr="00F33937">
        <w:rPr>
          <w:rFonts w:ascii="Times New Roman" w:hAnsi="Times New Roman" w:cs="Times New Roman"/>
          <w:sz w:val="24"/>
          <w:szCs w:val="24"/>
        </w:rPr>
        <w:t xml:space="preserve">, </w:t>
      </w:r>
      <w:r w:rsidR="00FF3B8F" w:rsidRPr="00F33937">
        <w:rPr>
          <w:rFonts w:ascii="Times New Roman" w:hAnsi="Times New Roman" w:cs="Times New Roman"/>
          <w:sz w:val="24"/>
          <w:szCs w:val="24"/>
        </w:rPr>
        <w:t xml:space="preserve">the number of which to be based upon average judicial needs per state population, and </w:t>
      </w:r>
      <w:r w:rsidR="00AA6775" w:rsidRPr="00F33937">
        <w:rPr>
          <w:rFonts w:ascii="Times New Roman" w:hAnsi="Times New Roman" w:cs="Times New Roman"/>
          <w:sz w:val="24"/>
          <w:szCs w:val="24"/>
        </w:rPr>
        <w:t xml:space="preserve">to be </w:t>
      </w:r>
      <w:r w:rsidR="0010708D" w:rsidRPr="00F33937">
        <w:rPr>
          <w:rFonts w:ascii="Times New Roman" w:hAnsi="Times New Roman" w:cs="Times New Roman"/>
          <w:sz w:val="24"/>
          <w:szCs w:val="24"/>
        </w:rPr>
        <w:t>equitabl</w:t>
      </w:r>
      <w:r w:rsidR="00FF3B8F" w:rsidRPr="00F33937">
        <w:rPr>
          <w:rFonts w:ascii="Times New Roman" w:hAnsi="Times New Roman" w:cs="Times New Roman"/>
          <w:sz w:val="24"/>
          <w:szCs w:val="24"/>
        </w:rPr>
        <w:t xml:space="preserve">e in </w:t>
      </w:r>
      <w:r w:rsidR="00011E8F">
        <w:rPr>
          <w:rFonts w:ascii="Times New Roman" w:hAnsi="Times New Roman" w:cs="Times New Roman"/>
          <w:sz w:val="24"/>
          <w:szCs w:val="24"/>
        </w:rPr>
        <w:t xml:space="preserve">quality and </w:t>
      </w:r>
      <w:r w:rsidR="00FF3B8F" w:rsidRPr="00F33937">
        <w:rPr>
          <w:rFonts w:ascii="Times New Roman" w:hAnsi="Times New Roman" w:cs="Times New Roman"/>
          <w:sz w:val="24"/>
          <w:szCs w:val="24"/>
        </w:rPr>
        <w:t>nature</w:t>
      </w:r>
      <w:r w:rsidR="00944DF1" w:rsidRPr="00F33937">
        <w:rPr>
          <w:rStyle w:val="FootnoteReference"/>
          <w:rFonts w:ascii="Times New Roman" w:hAnsi="Times New Roman" w:cs="Times New Roman"/>
          <w:sz w:val="24"/>
          <w:szCs w:val="24"/>
        </w:rPr>
        <w:footnoteReference w:id="186"/>
      </w:r>
      <w:r w:rsidR="00270E25" w:rsidRPr="00F33937">
        <w:rPr>
          <w:rFonts w:ascii="Times New Roman" w:hAnsi="Times New Roman" w:cs="Times New Roman"/>
          <w:sz w:val="24"/>
          <w:szCs w:val="24"/>
        </w:rPr>
        <w:t xml:space="preserve"> with their </w:t>
      </w:r>
      <w:r w:rsidR="00172B1C" w:rsidRPr="00F33937">
        <w:rPr>
          <w:rFonts w:ascii="Times New Roman" w:hAnsi="Times New Roman" w:cs="Times New Roman"/>
          <w:sz w:val="24"/>
          <w:szCs w:val="24"/>
        </w:rPr>
        <w:t>sister state of Charechia Maior</w:t>
      </w:r>
      <w:r w:rsidR="0031543E" w:rsidRPr="00F33937">
        <w:rPr>
          <w:rFonts w:ascii="Times New Roman" w:hAnsi="Times New Roman" w:cs="Times New Roman"/>
          <w:sz w:val="24"/>
          <w:szCs w:val="24"/>
        </w:rPr>
        <w:t>.</w:t>
      </w:r>
      <w:r w:rsidR="00011E8F">
        <w:rPr>
          <w:rStyle w:val="FootnoteReference"/>
          <w:rFonts w:ascii="Times New Roman" w:hAnsi="Times New Roman" w:cs="Times New Roman"/>
          <w:sz w:val="24"/>
          <w:szCs w:val="24"/>
        </w:rPr>
        <w:footnoteReference w:id="187"/>
      </w:r>
      <w:r w:rsidRPr="00F33937">
        <w:rPr>
          <w:rFonts w:ascii="Times New Roman" w:hAnsi="Times New Roman" w:cs="Times New Roman"/>
          <w:sz w:val="24"/>
          <w:szCs w:val="24"/>
        </w:rPr>
        <w:t xml:space="preserve"> </w:t>
      </w:r>
    </w:p>
    <w:p w14:paraId="057FDAB5" w14:textId="77777777" w:rsidR="00766927" w:rsidRPr="00F33937" w:rsidRDefault="00766927" w:rsidP="00875F31">
      <w:pPr>
        <w:spacing w:after="0" w:line="259" w:lineRule="auto"/>
        <w:rPr>
          <w:rFonts w:ascii="Times New Roman" w:hAnsi="Times New Roman" w:cs="Times New Roman"/>
          <w:sz w:val="24"/>
          <w:szCs w:val="24"/>
        </w:rPr>
      </w:pPr>
      <w:r w:rsidRPr="00F33937">
        <w:rPr>
          <w:rFonts w:ascii="Times New Roman" w:hAnsi="Times New Roman" w:cs="Times New Roman"/>
          <w:sz w:val="24"/>
          <w:szCs w:val="24"/>
        </w:rPr>
        <w:t xml:space="preserve"> </w:t>
      </w:r>
    </w:p>
    <w:sectPr w:rsidR="00766927" w:rsidRPr="00F33937" w:rsidSect="001C5771">
      <w:headerReference w:type="default" r:id="rId8"/>
      <w:footerReference w:type="default" r:id="rId9"/>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CA8221" w16cid:durableId="1F784C9A"/>
  <w16cid:commentId w16cid:paraId="79EEFA5C" w16cid:durableId="1F784EFC"/>
  <w16cid:commentId w16cid:paraId="60079B79" w16cid:durableId="1F784F11"/>
  <w16cid:commentId w16cid:paraId="1EE45B22" w16cid:durableId="1F784F4E"/>
  <w16cid:commentId w16cid:paraId="3988E997" w16cid:durableId="1F7852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C7D4A" w14:textId="77777777" w:rsidR="00212DE6" w:rsidRDefault="00212DE6" w:rsidP="00267772">
      <w:pPr>
        <w:spacing w:after="0" w:line="240" w:lineRule="auto"/>
      </w:pPr>
      <w:r>
        <w:separator/>
      </w:r>
    </w:p>
  </w:endnote>
  <w:endnote w:type="continuationSeparator" w:id="0">
    <w:p w14:paraId="1CEE807B" w14:textId="77777777" w:rsidR="00212DE6" w:rsidRDefault="00212DE6" w:rsidP="00267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4090486"/>
      <w:docPartObj>
        <w:docPartGallery w:val="Page Numbers (Bottom of Page)"/>
        <w:docPartUnique/>
      </w:docPartObj>
    </w:sdtPr>
    <w:sdtEndPr/>
    <w:sdtContent>
      <w:sdt>
        <w:sdtPr>
          <w:id w:val="565050477"/>
          <w:docPartObj>
            <w:docPartGallery w:val="Page Numbers (Top of Page)"/>
            <w:docPartUnique/>
          </w:docPartObj>
        </w:sdtPr>
        <w:sdtEndPr/>
        <w:sdtContent>
          <w:p w14:paraId="3DD4471C" w14:textId="4E6161A9" w:rsidR="001023D7" w:rsidRDefault="001023D7">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E534A4">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E534A4">
              <w:rPr>
                <w:b/>
                <w:noProof/>
              </w:rPr>
              <w:t>32</w:t>
            </w:r>
            <w:r>
              <w:rPr>
                <w:b/>
                <w:sz w:val="24"/>
                <w:szCs w:val="24"/>
              </w:rPr>
              <w:fldChar w:fldCharType="end"/>
            </w:r>
          </w:p>
        </w:sdtContent>
      </w:sdt>
    </w:sdtContent>
  </w:sdt>
  <w:p w14:paraId="13B8D19E" w14:textId="77777777" w:rsidR="001023D7" w:rsidRDefault="00102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73A9F" w14:textId="77777777" w:rsidR="00212DE6" w:rsidRDefault="00212DE6" w:rsidP="00267772">
      <w:pPr>
        <w:spacing w:after="0" w:line="240" w:lineRule="auto"/>
      </w:pPr>
      <w:r>
        <w:separator/>
      </w:r>
    </w:p>
  </w:footnote>
  <w:footnote w:type="continuationSeparator" w:id="0">
    <w:p w14:paraId="3B2B2123" w14:textId="77777777" w:rsidR="00212DE6" w:rsidRDefault="00212DE6" w:rsidP="00267772">
      <w:pPr>
        <w:spacing w:after="0" w:line="240" w:lineRule="auto"/>
      </w:pPr>
      <w:r>
        <w:continuationSeparator/>
      </w:r>
    </w:p>
  </w:footnote>
  <w:footnote w:id="1">
    <w:p w14:paraId="6DBD684B" w14:textId="3A4C0E98" w:rsidR="001023D7" w:rsidRDefault="001023D7">
      <w:pPr>
        <w:pStyle w:val="FootnoteText"/>
      </w:pPr>
      <w:r>
        <w:rPr>
          <w:rStyle w:val="FootnoteReference"/>
        </w:rPr>
        <w:footnoteRef/>
      </w:r>
      <w:r>
        <w:t xml:space="preserve"> Hypothetical Paragraph 1</w:t>
      </w:r>
    </w:p>
  </w:footnote>
  <w:footnote w:id="2">
    <w:p w14:paraId="252EDE9D" w14:textId="2F93C8D1" w:rsidR="001023D7" w:rsidRDefault="001023D7">
      <w:pPr>
        <w:pStyle w:val="FootnoteText"/>
      </w:pPr>
      <w:r>
        <w:rPr>
          <w:rStyle w:val="FootnoteReference"/>
        </w:rPr>
        <w:footnoteRef/>
      </w:r>
      <w:r>
        <w:t xml:space="preserve"> Hypothetical Paragraph 7</w:t>
      </w:r>
    </w:p>
  </w:footnote>
  <w:footnote w:id="3">
    <w:p w14:paraId="59F15B38" w14:textId="79993B59" w:rsidR="001023D7" w:rsidRDefault="001023D7">
      <w:pPr>
        <w:pStyle w:val="FootnoteText"/>
      </w:pPr>
      <w:r>
        <w:rPr>
          <w:rStyle w:val="FootnoteReference"/>
        </w:rPr>
        <w:footnoteRef/>
      </w:r>
      <w:r>
        <w:t xml:space="preserve"> Hypothetical Paragraph 8</w:t>
      </w:r>
    </w:p>
  </w:footnote>
  <w:footnote w:id="4">
    <w:p w14:paraId="5746871A" w14:textId="45A04A7E" w:rsidR="001023D7" w:rsidRDefault="001023D7">
      <w:pPr>
        <w:pStyle w:val="FootnoteText"/>
      </w:pPr>
      <w:r>
        <w:rPr>
          <w:rStyle w:val="FootnoteReference"/>
        </w:rPr>
        <w:footnoteRef/>
      </w:r>
      <w:r>
        <w:t xml:space="preserve"> Hypothetical Paragraph 9</w:t>
      </w:r>
    </w:p>
  </w:footnote>
  <w:footnote w:id="5">
    <w:p w14:paraId="2A51C32C" w14:textId="21B58962" w:rsidR="001023D7" w:rsidRDefault="001023D7">
      <w:pPr>
        <w:pStyle w:val="FootnoteText"/>
      </w:pPr>
      <w:r>
        <w:rPr>
          <w:rStyle w:val="FootnoteReference"/>
        </w:rPr>
        <w:footnoteRef/>
      </w:r>
      <w:r>
        <w:t xml:space="preserve"> Hypothetical Paragraph 8</w:t>
      </w:r>
    </w:p>
  </w:footnote>
  <w:footnote w:id="6">
    <w:p w14:paraId="3AD4F178" w14:textId="463785D5" w:rsidR="001023D7" w:rsidRDefault="001023D7">
      <w:pPr>
        <w:pStyle w:val="FootnoteText"/>
      </w:pPr>
      <w:r>
        <w:rPr>
          <w:rStyle w:val="FootnoteReference"/>
        </w:rPr>
        <w:footnoteRef/>
      </w:r>
      <w:r>
        <w:t xml:space="preserve"> Hypothetical Paragraph 13</w:t>
      </w:r>
    </w:p>
  </w:footnote>
  <w:footnote w:id="7">
    <w:p w14:paraId="6AEE106F" w14:textId="03557DBF" w:rsidR="001023D7" w:rsidRDefault="001023D7">
      <w:pPr>
        <w:pStyle w:val="FootnoteText"/>
      </w:pPr>
      <w:r>
        <w:rPr>
          <w:rStyle w:val="FootnoteReference"/>
        </w:rPr>
        <w:footnoteRef/>
      </w:r>
      <w:r>
        <w:t xml:space="preserve"> Hypothetical Paragraphs 4, 11</w:t>
      </w:r>
    </w:p>
  </w:footnote>
  <w:footnote w:id="8">
    <w:p w14:paraId="1532D03A" w14:textId="432C8E93" w:rsidR="00912449" w:rsidRDefault="00912449">
      <w:pPr>
        <w:pStyle w:val="FootnoteText"/>
      </w:pPr>
      <w:r>
        <w:rPr>
          <w:rStyle w:val="FootnoteReference"/>
        </w:rPr>
        <w:footnoteRef/>
      </w:r>
      <w:r>
        <w:t xml:space="preserve"> Hypothetical Paragraph 17</w:t>
      </w:r>
    </w:p>
  </w:footnote>
  <w:footnote w:id="9">
    <w:p w14:paraId="3D79C013" w14:textId="2E131B06" w:rsidR="001023D7" w:rsidRDefault="001023D7">
      <w:pPr>
        <w:pStyle w:val="FootnoteText"/>
      </w:pPr>
      <w:r>
        <w:rPr>
          <w:rStyle w:val="FootnoteReference"/>
        </w:rPr>
        <w:footnoteRef/>
      </w:r>
      <w:r>
        <w:t xml:space="preserve"> Hypothetical Paragraph 19</w:t>
      </w:r>
    </w:p>
  </w:footnote>
  <w:footnote w:id="10">
    <w:p w14:paraId="5A17AF4A" w14:textId="1400447C" w:rsidR="001023D7" w:rsidRDefault="001023D7">
      <w:pPr>
        <w:pStyle w:val="FootnoteText"/>
      </w:pPr>
      <w:r>
        <w:rPr>
          <w:rStyle w:val="FootnoteReference"/>
        </w:rPr>
        <w:footnoteRef/>
      </w:r>
      <w:r>
        <w:t xml:space="preserve"> Hypothetical Paragraph 20</w:t>
      </w:r>
    </w:p>
  </w:footnote>
  <w:footnote w:id="11">
    <w:p w14:paraId="3132CA22" w14:textId="7ED466E0" w:rsidR="001023D7" w:rsidRDefault="001023D7">
      <w:pPr>
        <w:pStyle w:val="FootnoteText"/>
      </w:pPr>
      <w:r>
        <w:rPr>
          <w:rStyle w:val="FootnoteReference"/>
        </w:rPr>
        <w:footnoteRef/>
      </w:r>
      <w:r>
        <w:t xml:space="preserve"> Hypothetical Paragraph 3</w:t>
      </w:r>
    </w:p>
  </w:footnote>
  <w:footnote w:id="12">
    <w:p w14:paraId="007B670E" w14:textId="4B2BCE85" w:rsidR="001023D7" w:rsidRDefault="001023D7">
      <w:pPr>
        <w:pStyle w:val="FootnoteText"/>
      </w:pPr>
      <w:r>
        <w:rPr>
          <w:rStyle w:val="FootnoteReference"/>
        </w:rPr>
        <w:footnoteRef/>
      </w:r>
      <w:r>
        <w:t xml:space="preserve"> Hypothetical Paragraph 21</w:t>
      </w:r>
    </w:p>
  </w:footnote>
  <w:footnote w:id="13">
    <w:p w14:paraId="49479F82" w14:textId="18695D1D" w:rsidR="001023D7" w:rsidRDefault="001023D7">
      <w:pPr>
        <w:pStyle w:val="FootnoteText"/>
      </w:pPr>
      <w:r>
        <w:rPr>
          <w:rStyle w:val="FootnoteReference"/>
        </w:rPr>
        <w:footnoteRef/>
      </w:r>
      <w:r>
        <w:t xml:space="preserve"> Ibid.</w:t>
      </w:r>
    </w:p>
  </w:footnote>
  <w:footnote w:id="14">
    <w:p w14:paraId="5338CC8F" w14:textId="07ADBDBD" w:rsidR="001023D7" w:rsidRDefault="001023D7">
      <w:pPr>
        <w:pStyle w:val="FootnoteText"/>
      </w:pPr>
      <w:r>
        <w:rPr>
          <w:rStyle w:val="FootnoteReference"/>
        </w:rPr>
        <w:footnoteRef/>
      </w:r>
      <w:r>
        <w:t xml:space="preserve"> Hypothetical Paragraph 22</w:t>
      </w:r>
    </w:p>
  </w:footnote>
  <w:footnote w:id="15">
    <w:p w14:paraId="2CF9978D" w14:textId="62CDE92F" w:rsidR="00E07B46" w:rsidRDefault="00E07B46">
      <w:pPr>
        <w:pStyle w:val="FootnoteText"/>
      </w:pPr>
      <w:r>
        <w:rPr>
          <w:rStyle w:val="FootnoteReference"/>
        </w:rPr>
        <w:footnoteRef/>
      </w:r>
      <w:r>
        <w:t xml:space="preserve"> Ibid.</w:t>
      </w:r>
    </w:p>
  </w:footnote>
  <w:footnote w:id="16">
    <w:p w14:paraId="6F18A89E" w14:textId="0198DC32" w:rsidR="001023D7" w:rsidRDefault="001023D7">
      <w:pPr>
        <w:pStyle w:val="FootnoteText"/>
      </w:pPr>
      <w:r>
        <w:rPr>
          <w:rStyle w:val="FootnoteReference"/>
        </w:rPr>
        <w:footnoteRef/>
      </w:r>
      <w:r>
        <w:t xml:space="preserve"> Ibid.</w:t>
      </w:r>
    </w:p>
  </w:footnote>
  <w:footnote w:id="17">
    <w:p w14:paraId="1D47DE31" w14:textId="3EC690F9" w:rsidR="001023D7" w:rsidRDefault="001023D7">
      <w:pPr>
        <w:pStyle w:val="FootnoteText"/>
      </w:pPr>
      <w:r>
        <w:rPr>
          <w:rStyle w:val="FootnoteReference"/>
        </w:rPr>
        <w:footnoteRef/>
      </w:r>
      <w:r>
        <w:t xml:space="preserve"> Ibid.</w:t>
      </w:r>
    </w:p>
  </w:footnote>
  <w:footnote w:id="18">
    <w:p w14:paraId="67F36D6B" w14:textId="62B9CA4D" w:rsidR="001023D7" w:rsidRDefault="001023D7">
      <w:pPr>
        <w:pStyle w:val="FootnoteText"/>
      </w:pPr>
      <w:r>
        <w:rPr>
          <w:rStyle w:val="FootnoteReference"/>
        </w:rPr>
        <w:footnoteRef/>
      </w:r>
      <w:r>
        <w:t xml:space="preserve"> Hypothetical Paragraph 24</w:t>
      </w:r>
    </w:p>
  </w:footnote>
  <w:footnote w:id="19">
    <w:p w14:paraId="5A5472A1" w14:textId="405AE0FE" w:rsidR="004832FF" w:rsidRDefault="004832FF">
      <w:pPr>
        <w:pStyle w:val="FootnoteText"/>
      </w:pPr>
      <w:r>
        <w:rPr>
          <w:rStyle w:val="FootnoteReference"/>
        </w:rPr>
        <w:footnoteRef/>
      </w:r>
      <w:r>
        <w:t xml:space="preserve"> American Convention on Human Rights </w:t>
      </w:r>
      <w:r w:rsidR="004C593D">
        <w:t xml:space="preserve">1969 </w:t>
      </w:r>
      <w:r>
        <w:t>Article 4</w:t>
      </w:r>
    </w:p>
  </w:footnote>
  <w:footnote w:id="20">
    <w:p w14:paraId="3FFE0136" w14:textId="3CC7EBD5" w:rsidR="001023D7" w:rsidRDefault="001023D7">
      <w:pPr>
        <w:pStyle w:val="FootnoteText"/>
      </w:pPr>
      <w:r>
        <w:rPr>
          <w:rStyle w:val="FootnoteReference"/>
        </w:rPr>
        <w:footnoteRef/>
      </w:r>
      <w:r>
        <w:t xml:space="preserve"> Hypothetical Paragraph 29</w:t>
      </w:r>
    </w:p>
  </w:footnote>
  <w:footnote w:id="21">
    <w:p w14:paraId="61546F4F" w14:textId="227AE75D" w:rsidR="001023D7" w:rsidRDefault="001023D7">
      <w:pPr>
        <w:pStyle w:val="FootnoteText"/>
      </w:pPr>
      <w:r>
        <w:rPr>
          <w:rStyle w:val="FootnoteReference"/>
        </w:rPr>
        <w:footnoteRef/>
      </w:r>
      <w:r>
        <w:t xml:space="preserve"> Hypothetical Paragraph 24</w:t>
      </w:r>
    </w:p>
  </w:footnote>
  <w:footnote w:id="22">
    <w:p w14:paraId="1D4FA677" w14:textId="7D43CB66" w:rsidR="001023D7" w:rsidRDefault="001023D7">
      <w:pPr>
        <w:pStyle w:val="FootnoteText"/>
      </w:pPr>
      <w:r>
        <w:rPr>
          <w:rStyle w:val="FootnoteReference"/>
        </w:rPr>
        <w:footnoteRef/>
      </w:r>
      <w:r>
        <w:t xml:space="preserve"> Hypothetical Paragraph 23</w:t>
      </w:r>
    </w:p>
  </w:footnote>
  <w:footnote w:id="23">
    <w:p w14:paraId="648A46CF" w14:textId="4495E125" w:rsidR="001023D7" w:rsidRDefault="001023D7">
      <w:pPr>
        <w:pStyle w:val="FootnoteText"/>
      </w:pPr>
      <w:r>
        <w:rPr>
          <w:rStyle w:val="FootnoteReference"/>
        </w:rPr>
        <w:footnoteRef/>
      </w:r>
      <w:r>
        <w:t xml:space="preserve"> Hypothetical Paragraph 24</w:t>
      </w:r>
    </w:p>
  </w:footnote>
  <w:footnote w:id="24">
    <w:p w14:paraId="1C3149E6" w14:textId="4F106F7F" w:rsidR="00714DE2" w:rsidRDefault="00714DE2">
      <w:pPr>
        <w:pStyle w:val="FootnoteText"/>
      </w:pPr>
      <w:r>
        <w:rPr>
          <w:rStyle w:val="FootnoteReference"/>
        </w:rPr>
        <w:footnoteRef/>
      </w:r>
      <w:r>
        <w:t xml:space="preserve"> Ibid.</w:t>
      </w:r>
    </w:p>
  </w:footnote>
  <w:footnote w:id="25">
    <w:p w14:paraId="21B8E491" w14:textId="05935A65" w:rsidR="001023D7" w:rsidRDefault="001023D7">
      <w:pPr>
        <w:pStyle w:val="FootnoteText"/>
      </w:pPr>
      <w:r>
        <w:rPr>
          <w:rStyle w:val="FootnoteReference"/>
        </w:rPr>
        <w:footnoteRef/>
      </w:r>
      <w:r>
        <w:t xml:space="preserve"> Hypothetical Paragraph 25</w:t>
      </w:r>
    </w:p>
  </w:footnote>
  <w:footnote w:id="26">
    <w:p w14:paraId="24AB3AC0" w14:textId="4DBDA77A" w:rsidR="001023D7" w:rsidRDefault="001023D7">
      <w:pPr>
        <w:pStyle w:val="FootnoteText"/>
      </w:pPr>
      <w:r>
        <w:rPr>
          <w:rStyle w:val="FootnoteReference"/>
        </w:rPr>
        <w:footnoteRef/>
      </w:r>
      <w:r>
        <w:t xml:space="preserve"> Hypothetical Paragraph 26</w:t>
      </w:r>
    </w:p>
  </w:footnote>
  <w:footnote w:id="27">
    <w:p w14:paraId="10D91615" w14:textId="01CDC02C" w:rsidR="000D6CA4" w:rsidRDefault="000D6CA4">
      <w:pPr>
        <w:pStyle w:val="FootnoteText"/>
      </w:pPr>
      <w:r>
        <w:rPr>
          <w:rStyle w:val="FootnoteReference"/>
        </w:rPr>
        <w:footnoteRef/>
      </w:r>
      <w:r>
        <w:t xml:space="preserve"> Hypothetical Paragraph 29</w:t>
      </w:r>
    </w:p>
  </w:footnote>
  <w:footnote w:id="28">
    <w:p w14:paraId="790C27C5" w14:textId="729DE762" w:rsidR="001023D7" w:rsidRDefault="001023D7">
      <w:pPr>
        <w:pStyle w:val="FootnoteText"/>
      </w:pPr>
      <w:r>
        <w:rPr>
          <w:rStyle w:val="FootnoteReference"/>
        </w:rPr>
        <w:footnoteRef/>
      </w:r>
      <w:r>
        <w:t xml:space="preserve"> Hypothetical Paragraph 10</w:t>
      </w:r>
    </w:p>
  </w:footnote>
  <w:footnote w:id="29">
    <w:p w14:paraId="454E71A6" w14:textId="77DB9AC0" w:rsidR="003C0EEE" w:rsidRDefault="003C0EEE">
      <w:pPr>
        <w:pStyle w:val="FootnoteText"/>
      </w:pPr>
      <w:r>
        <w:rPr>
          <w:rStyle w:val="FootnoteReference"/>
        </w:rPr>
        <w:footnoteRef/>
      </w:r>
      <w:r>
        <w:t xml:space="preserve"> May 5, 2019</w:t>
      </w:r>
    </w:p>
  </w:footnote>
  <w:footnote w:id="30">
    <w:p w14:paraId="38371600" w14:textId="49C9A2A1" w:rsidR="007A1E6C" w:rsidRDefault="007A1E6C">
      <w:pPr>
        <w:pStyle w:val="FootnoteText"/>
      </w:pPr>
      <w:r>
        <w:rPr>
          <w:rStyle w:val="FootnoteReference"/>
        </w:rPr>
        <w:footnoteRef/>
      </w:r>
      <w:r>
        <w:t xml:space="preserve"> Hypothetical Paragraph 31</w:t>
      </w:r>
    </w:p>
  </w:footnote>
  <w:footnote w:id="31">
    <w:p w14:paraId="4A40F8F6" w14:textId="491AE9F8" w:rsidR="00CD0158" w:rsidRDefault="00CD0158">
      <w:pPr>
        <w:pStyle w:val="FootnoteText"/>
      </w:pPr>
      <w:r>
        <w:rPr>
          <w:rStyle w:val="FootnoteReference"/>
        </w:rPr>
        <w:footnoteRef/>
      </w:r>
      <w:r>
        <w:t xml:space="preserve"> Hypothetical Paragraph 33</w:t>
      </w:r>
    </w:p>
  </w:footnote>
  <w:footnote w:id="32">
    <w:p w14:paraId="2F346DB0" w14:textId="2F924EEB" w:rsidR="001023D7" w:rsidRPr="002234B5" w:rsidRDefault="001023D7">
      <w:pPr>
        <w:pStyle w:val="FootnoteText"/>
        <w:rPr>
          <w:rFonts w:cs="Times New Roman"/>
        </w:rPr>
      </w:pPr>
      <w:r w:rsidRPr="002234B5">
        <w:rPr>
          <w:rStyle w:val="FootnoteReference"/>
          <w:rFonts w:cs="Times New Roman"/>
        </w:rPr>
        <w:footnoteRef/>
      </w:r>
      <w:r w:rsidRPr="002234B5">
        <w:rPr>
          <w:rFonts w:cs="Times New Roman"/>
        </w:rPr>
        <w:t xml:space="preserve"> Hypothetical Paragraph 16, 34</w:t>
      </w:r>
    </w:p>
  </w:footnote>
  <w:footnote w:id="33">
    <w:p w14:paraId="38B0E4CE" w14:textId="1A63E98E" w:rsidR="001023D7" w:rsidRDefault="001023D7">
      <w:pPr>
        <w:pStyle w:val="FootnoteText"/>
      </w:pPr>
      <w:r>
        <w:rPr>
          <w:rStyle w:val="FootnoteReference"/>
        </w:rPr>
        <w:footnoteRef/>
      </w:r>
      <w:r>
        <w:t xml:space="preserve"> Waldron, Jeremy.  Partly Laws Common to All Mankind, Yale University Press, 2012</w:t>
      </w:r>
    </w:p>
  </w:footnote>
  <w:footnote w:id="34">
    <w:p w14:paraId="67407D30" w14:textId="08B5B8B6" w:rsidR="001023D7" w:rsidRPr="00FE1F18" w:rsidRDefault="001023D7">
      <w:pPr>
        <w:pStyle w:val="FootnoteText"/>
      </w:pPr>
      <w:r w:rsidRPr="00FE1F18">
        <w:rPr>
          <w:rStyle w:val="FootnoteReference"/>
        </w:rPr>
        <w:footnoteRef/>
      </w:r>
      <w:r w:rsidRPr="00FE1F18">
        <w:t xml:space="preserve"> Hypothetical Paragraphs 30-32</w:t>
      </w:r>
    </w:p>
  </w:footnote>
  <w:footnote w:id="35">
    <w:p w14:paraId="6F7C415D" w14:textId="74177647" w:rsidR="001023D7" w:rsidRPr="00FE1F18" w:rsidRDefault="001023D7">
      <w:pPr>
        <w:pStyle w:val="FootnoteText"/>
        <w:rPr>
          <w:rFonts w:cs="Times New Roman"/>
        </w:rPr>
      </w:pPr>
      <w:r w:rsidRPr="00FE1F18">
        <w:rPr>
          <w:rStyle w:val="FootnoteReference"/>
          <w:rFonts w:cs="Times New Roman"/>
        </w:rPr>
        <w:footnoteRef/>
      </w:r>
      <w:r w:rsidR="00613DF7">
        <w:rPr>
          <w:rFonts w:cs="Times New Roman"/>
        </w:rPr>
        <w:t xml:space="preserve"> Hypothetical </w:t>
      </w:r>
      <w:r w:rsidR="00613DF7">
        <w:t>Paragraph</w:t>
      </w:r>
      <w:r w:rsidRPr="00FE1F18">
        <w:rPr>
          <w:rFonts w:cs="Times New Roman"/>
        </w:rPr>
        <w:t xml:space="preserve"> 24</w:t>
      </w:r>
    </w:p>
  </w:footnote>
  <w:footnote w:id="36">
    <w:p w14:paraId="1A2EBA34" w14:textId="64A43CE9" w:rsidR="001023D7" w:rsidRPr="00FE1F18" w:rsidRDefault="001023D7">
      <w:pPr>
        <w:pStyle w:val="FootnoteText"/>
        <w:rPr>
          <w:rFonts w:cs="Times New Roman"/>
        </w:rPr>
      </w:pPr>
      <w:r w:rsidRPr="00FE1F18">
        <w:rPr>
          <w:rStyle w:val="FootnoteReference"/>
          <w:rFonts w:cs="Times New Roman"/>
        </w:rPr>
        <w:footnoteRef/>
      </w:r>
      <w:r w:rsidR="00613DF7">
        <w:rPr>
          <w:rFonts w:cs="Times New Roman"/>
        </w:rPr>
        <w:t xml:space="preserve"> Hypothetical </w:t>
      </w:r>
      <w:r w:rsidR="00613DF7">
        <w:t>Paragraph</w:t>
      </w:r>
      <w:r w:rsidRPr="00FE1F18">
        <w:rPr>
          <w:rFonts w:cs="Times New Roman"/>
        </w:rPr>
        <w:t xml:space="preserve"> 29</w:t>
      </w:r>
    </w:p>
  </w:footnote>
  <w:footnote w:id="37">
    <w:p w14:paraId="03FE8934" w14:textId="6DABFE9F" w:rsidR="001023D7" w:rsidRPr="00FE1F18" w:rsidRDefault="001023D7" w:rsidP="000F7C96">
      <w:pPr>
        <w:pStyle w:val="FootnoteText"/>
      </w:pPr>
      <w:r w:rsidRPr="00FE1F18">
        <w:rPr>
          <w:rStyle w:val="FootnoteReference"/>
          <w:rFonts w:cs="Times New Roman"/>
        </w:rPr>
        <w:footnoteRef/>
      </w:r>
      <w:r w:rsidRPr="00FE1F18">
        <w:t xml:space="preserve"> Hypothetical Paragraph 26</w:t>
      </w:r>
    </w:p>
  </w:footnote>
  <w:footnote w:id="38">
    <w:p w14:paraId="015A7726" w14:textId="3FB51EE3" w:rsidR="001023D7" w:rsidRPr="00CC41E7" w:rsidRDefault="001023D7">
      <w:pPr>
        <w:pStyle w:val="FootnoteText"/>
        <w:rPr>
          <w:rFonts w:cs="Times New Roman"/>
        </w:rPr>
      </w:pPr>
      <w:r w:rsidRPr="00CC41E7">
        <w:rPr>
          <w:rStyle w:val="FootnoteReference"/>
          <w:rFonts w:cs="Times New Roman"/>
        </w:rPr>
        <w:footnoteRef/>
      </w:r>
      <w:r w:rsidRPr="00CC41E7">
        <w:rPr>
          <w:rFonts w:cs="Times New Roman"/>
        </w:rPr>
        <w:t xml:space="preserve"> </w:t>
      </w:r>
      <w:r w:rsidRPr="005271F9">
        <w:rPr>
          <w:rFonts w:cs="Times New Roman"/>
          <w:i/>
        </w:rPr>
        <w:t>Case of Velásquez-Rodriguez v. Honduras</w:t>
      </w:r>
      <w:r w:rsidRPr="00CC41E7">
        <w:rPr>
          <w:rFonts w:cs="Times New Roman"/>
        </w:rPr>
        <w:t xml:space="preserve"> [1989] 4 C, para 177 (I/A Court H.R.)</w:t>
      </w:r>
    </w:p>
  </w:footnote>
  <w:footnote w:id="39">
    <w:p w14:paraId="52CF0733" w14:textId="587EF5AF" w:rsidR="001023D7" w:rsidRPr="00166E33" w:rsidRDefault="001023D7">
      <w:pPr>
        <w:pStyle w:val="FootnoteText"/>
        <w:rPr>
          <w:rFonts w:cs="Times New Roman"/>
        </w:rPr>
      </w:pPr>
      <w:r w:rsidRPr="00166E33">
        <w:rPr>
          <w:rStyle w:val="FootnoteReference"/>
          <w:rFonts w:cs="Times New Roman"/>
        </w:rPr>
        <w:footnoteRef/>
      </w:r>
      <w:r w:rsidRPr="00166E33">
        <w:rPr>
          <w:rFonts w:cs="Times New Roman"/>
        </w:rPr>
        <w:t xml:space="preserve"> Hypothetical Paragraph 10</w:t>
      </w:r>
    </w:p>
  </w:footnote>
  <w:footnote w:id="40">
    <w:p w14:paraId="451AB94E" w14:textId="033724DA" w:rsidR="001023D7" w:rsidRDefault="001023D7">
      <w:pPr>
        <w:pStyle w:val="FootnoteText"/>
      </w:pPr>
      <w:r>
        <w:rPr>
          <w:rStyle w:val="FootnoteReference"/>
        </w:rPr>
        <w:footnoteRef/>
      </w:r>
      <w:r>
        <w:t xml:space="preserve"> Inter-American Commission Executive Summary, “Access to Justice as a Guarantee of Economic, Social, and Cultural Rights.  A Review of the Standards Adopted by the Inter-American System of Human Rights” Paragraph 80(a), n.d.</w:t>
      </w:r>
    </w:p>
  </w:footnote>
  <w:footnote w:id="41">
    <w:p w14:paraId="5E7AD4C6" w14:textId="1EF50BA8" w:rsidR="001023D7" w:rsidRDefault="001023D7">
      <w:pPr>
        <w:pStyle w:val="FootnoteText"/>
      </w:pPr>
      <w:r>
        <w:rPr>
          <w:rStyle w:val="FootnoteReference"/>
        </w:rPr>
        <w:footnoteRef/>
      </w:r>
      <w:r>
        <w:t xml:space="preserve"> Hypothetical Paragraph 31</w:t>
      </w:r>
    </w:p>
  </w:footnote>
  <w:footnote w:id="42">
    <w:p w14:paraId="3D6C2C58" w14:textId="26EA7E32" w:rsidR="001023D7" w:rsidRDefault="001023D7">
      <w:pPr>
        <w:pStyle w:val="FootnoteText"/>
      </w:pPr>
      <w:r>
        <w:rPr>
          <w:rStyle w:val="FootnoteReference"/>
        </w:rPr>
        <w:footnoteRef/>
      </w:r>
      <w:r w:rsidR="004E17B4">
        <w:t xml:space="preserve"> Please see S</w:t>
      </w:r>
      <w:r>
        <w:t>ection</w:t>
      </w:r>
      <w:r w:rsidR="004E17B4">
        <w:t xml:space="preserve"> 4,</w:t>
      </w:r>
      <w:r>
        <w:t xml:space="preserve"> “Request for Relief</w:t>
      </w:r>
      <w:r w:rsidR="004E17B4">
        <w:t>,</w:t>
      </w:r>
      <w:r>
        <w:t xml:space="preserve">” for </w:t>
      </w:r>
      <w:r w:rsidR="00636AC7">
        <w:t xml:space="preserve">itemized </w:t>
      </w:r>
      <w:r>
        <w:t>comprehensive request.</w:t>
      </w:r>
    </w:p>
  </w:footnote>
  <w:footnote w:id="43">
    <w:p w14:paraId="6E862C65" w14:textId="36F7C8F2" w:rsidR="001023D7" w:rsidRPr="000834B0" w:rsidRDefault="001023D7">
      <w:pPr>
        <w:pStyle w:val="FootnoteText"/>
        <w:rPr>
          <w:rFonts w:cs="Times New Roman"/>
        </w:rPr>
      </w:pPr>
      <w:r w:rsidRPr="000834B0">
        <w:rPr>
          <w:rStyle w:val="FootnoteReference"/>
          <w:rFonts w:cs="Times New Roman"/>
        </w:rPr>
        <w:footnoteRef/>
      </w:r>
      <w:r w:rsidRPr="000834B0">
        <w:rPr>
          <w:rFonts w:cs="Times New Roman"/>
        </w:rPr>
        <w:t xml:space="preserve"> American Convention on Human Rights 1969 Article 5</w:t>
      </w:r>
      <w:r>
        <w:rPr>
          <w:rFonts w:cs="Times New Roman"/>
        </w:rPr>
        <w:t>.3</w:t>
      </w:r>
    </w:p>
  </w:footnote>
  <w:footnote w:id="44">
    <w:p w14:paraId="150EB5B1" w14:textId="7C70A360" w:rsidR="001023D7" w:rsidRPr="0056210C" w:rsidRDefault="001023D7">
      <w:pPr>
        <w:pStyle w:val="FootnoteText"/>
        <w:rPr>
          <w:i/>
        </w:rPr>
      </w:pPr>
      <w:r>
        <w:rPr>
          <w:rStyle w:val="FootnoteReference"/>
        </w:rPr>
        <w:footnoteRef/>
      </w:r>
      <w:r>
        <w:t xml:space="preserve"> </w:t>
      </w:r>
      <w:r w:rsidR="0056210C" w:rsidRPr="0056210C">
        <w:rPr>
          <w:rFonts w:cs="Times New Roman"/>
          <w:i/>
        </w:rPr>
        <w:t>Case of B</w:t>
      </w:r>
      <w:r w:rsidR="003C10AF">
        <w:rPr>
          <w:rFonts w:cs="Times New Roman"/>
          <w:i/>
        </w:rPr>
        <w:t>á</w:t>
      </w:r>
      <w:r w:rsidR="0056210C" w:rsidRPr="0056210C">
        <w:rPr>
          <w:rFonts w:cs="Times New Roman"/>
          <w:i/>
        </w:rPr>
        <w:t>maca Vel</w:t>
      </w:r>
      <w:r w:rsidR="003C10AF">
        <w:rPr>
          <w:rFonts w:cs="Times New Roman"/>
          <w:i/>
        </w:rPr>
        <w:t>á</w:t>
      </w:r>
      <w:r w:rsidR="0056210C" w:rsidRPr="0056210C">
        <w:rPr>
          <w:rFonts w:cs="Times New Roman"/>
          <w:i/>
        </w:rPr>
        <w:t xml:space="preserve">squez v. Guatemala </w:t>
      </w:r>
      <w:r w:rsidR="0056210C" w:rsidRPr="0090101A">
        <w:rPr>
          <w:rFonts w:cs="Times New Roman"/>
        </w:rPr>
        <w:t>[2000]</w:t>
      </w:r>
    </w:p>
  </w:footnote>
  <w:footnote w:id="45">
    <w:p w14:paraId="028AB74B" w14:textId="1C3E2436" w:rsidR="001023D7" w:rsidRPr="00A82066" w:rsidRDefault="001023D7">
      <w:pPr>
        <w:pStyle w:val="FootnoteText"/>
        <w:rPr>
          <w:rFonts w:cs="Times New Roman"/>
        </w:rPr>
      </w:pPr>
      <w:r w:rsidRPr="00A82066">
        <w:rPr>
          <w:rStyle w:val="FootnoteReference"/>
          <w:rFonts w:cs="Times New Roman"/>
        </w:rPr>
        <w:footnoteRef/>
      </w:r>
      <w:r w:rsidR="00B014D8">
        <w:rPr>
          <w:rFonts w:cs="Times New Roman"/>
        </w:rPr>
        <w:t xml:space="preserve"> </w:t>
      </w:r>
      <w:r w:rsidR="0090101A" w:rsidRPr="003C10AF">
        <w:rPr>
          <w:rFonts w:cs="Times New Roman"/>
        </w:rPr>
        <w:t>Ibid.</w:t>
      </w:r>
    </w:p>
  </w:footnote>
  <w:footnote w:id="46">
    <w:p w14:paraId="5905666B" w14:textId="2780A1A0" w:rsidR="001023D7" w:rsidRDefault="001023D7">
      <w:pPr>
        <w:pStyle w:val="FootnoteText"/>
      </w:pPr>
      <w:r>
        <w:rPr>
          <w:rStyle w:val="FootnoteReference"/>
        </w:rPr>
        <w:footnoteRef/>
      </w:r>
      <w:r>
        <w:t xml:space="preserve"> 2017 August 16</w:t>
      </w:r>
    </w:p>
  </w:footnote>
  <w:footnote w:id="47">
    <w:p w14:paraId="0846BC56" w14:textId="728555C7" w:rsidR="001023D7" w:rsidRPr="00A82066" w:rsidRDefault="001023D7">
      <w:pPr>
        <w:pStyle w:val="FootnoteText"/>
        <w:rPr>
          <w:rFonts w:cs="Times New Roman"/>
        </w:rPr>
      </w:pPr>
      <w:r w:rsidRPr="00A82066">
        <w:rPr>
          <w:rStyle w:val="FootnoteReference"/>
          <w:rFonts w:cs="Times New Roman"/>
        </w:rPr>
        <w:footnoteRef/>
      </w:r>
      <w:r w:rsidRPr="00A82066">
        <w:rPr>
          <w:rFonts w:cs="Times New Roman"/>
        </w:rPr>
        <w:t xml:space="preserve"> Hypothetical Case Para. 23; Clarification Questions 3, 8</w:t>
      </w:r>
    </w:p>
  </w:footnote>
  <w:footnote w:id="48">
    <w:p w14:paraId="35213704" w14:textId="777F9C14" w:rsidR="001023D7" w:rsidRDefault="001023D7">
      <w:pPr>
        <w:pStyle w:val="FootnoteText"/>
      </w:pPr>
      <w:r>
        <w:rPr>
          <w:rStyle w:val="FootnoteReference"/>
        </w:rPr>
        <w:footnoteRef/>
      </w:r>
      <w:r>
        <w:t xml:space="preserve"> Hypothetical Paragraph 23</w:t>
      </w:r>
    </w:p>
  </w:footnote>
  <w:footnote w:id="49">
    <w:p w14:paraId="7F61D293" w14:textId="4534CD31" w:rsidR="001023D7" w:rsidRDefault="001023D7">
      <w:pPr>
        <w:pStyle w:val="FootnoteText"/>
      </w:pPr>
      <w:r>
        <w:rPr>
          <w:rStyle w:val="FootnoteReference"/>
        </w:rPr>
        <w:footnoteRef/>
      </w:r>
      <w:r>
        <w:t xml:space="preserve"> Hypothetical Paragraph 24</w:t>
      </w:r>
    </w:p>
  </w:footnote>
  <w:footnote w:id="50">
    <w:p w14:paraId="6F1F6E53" w14:textId="5288D09C" w:rsidR="001023D7" w:rsidRDefault="001023D7">
      <w:pPr>
        <w:pStyle w:val="FootnoteText"/>
      </w:pPr>
      <w:r>
        <w:rPr>
          <w:rStyle w:val="FootnoteReference"/>
        </w:rPr>
        <w:footnoteRef/>
      </w:r>
      <w:r>
        <w:t xml:space="preserve"> </w:t>
      </w:r>
      <w:r w:rsidR="00762904">
        <w:t>Ibid.</w:t>
      </w:r>
    </w:p>
  </w:footnote>
  <w:footnote w:id="51">
    <w:p w14:paraId="2AD0BE01" w14:textId="289DC55C" w:rsidR="001023D7" w:rsidRDefault="001023D7">
      <w:pPr>
        <w:pStyle w:val="FootnoteText"/>
      </w:pPr>
      <w:r>
        <w:rPr>
          <w:rStyle w:val="FootnoteReference"/>
        </w:rPr>
        <w:footnoteRef/>
      </w:r>
      <w:r>
        <w:t xml:space="preserve"> Hypothetical Paragraph 23  </w:t>
      </w:r>
    </w:p>
  </w:footnote>
  <w:footnote w:id="52">
    <w:p w14:paraId="4A20C629" w14:textId="2145B7DE" w:rsidR="001023D7" w:rsidRPr="00265C3B" w:rsidRDefault="001023D7">
      <w:pPr>
        <w:pStyle w:val="FootnoteText"/>
        <w:rPr>
          <w:rFonts w:cs="Times New Roman"/>
        </w:rPr>
      </w:pPr>
      <w:r w:rsidRPr="00265C3B">
        <w:rPr>
          <w:rStyle w:val="FootnoteReference"/>
          <w:rFonts w:cs="Times New Roman"/>
        </w:rPr>
        <w:footnoteRef/>
      </w:r>
      <w:r w:rsidRPr="00265C3B">
        <w:rPr>
          <w:rFonts w:cs="Times New Roman"/>
        </w:rPr>
        <w:t xml:space="preserve"> Hypothetical </w:t>
      </w:r>
      <w:r w:rsidR="00613DF7">
        <w:t>Paragraph</w:t>
      </w:r>
      <w:r w:rsidRPr="00265C3B">
        <w:rPr>
          <w:rFonts w:cs="Times New Roman"/>
        </w:rPr>
        <w:t>. 24</w:t>
      </w:r>
    </w:p>
  </w:footnote>
  <w:footnote w:id="53">
    <w:p w14:paraId="2ABF6451" w14:textId="1D560544" w:rsidR="001023D7" w:rsidRPr="00265C3B" w:rsidRDefault="001023D7">
      <w:pPr>
        <w:pStyle w:val="FootnoteText"/>
        <w:rPr>
          <w:rFonts w:cs="Times New Roman"/>
        </w:rPr>
      </w:pPr>
      <w:r w:rsidRPr="00265C3B">
        <w:rPr>
          <w:rStyle w:val="FootnoteReference"/>
          <w:rFonts w:cs="Times New Roman"/>
        </w:rPr>
        <w:footnoteRef/>
      </w:r>
      <w:r w:rsidRPr="00265C3B">
        <w:rPr>
          <w:rFonts w:cs="Times New Roman"/>
        </w:rPr>
        <w:t xml:space="preserve"> Hypothetical </w:t>
      </w:r>
      <w:r w:rsidR="00613DF7">
        <w:t>Paragraph</w:t>
      </w:r>
      <w:r w:rsidR="00613DF7" w:rsidRPr="00265C3B">
        <w:rPr>
          <w:rFonts w:cs="Times New Roman"/>
        </w:rPr>
        <w:t xml:space="preserve"> </w:t>
      </w:r>
      <w:r w:rsidRPr="00265C3B">
        <w:rPr>
          <w:rFonts w:cs="Times New Roman"/>
        </w:rPr>
        <w:t>23</w:t>
      </w:r>
    </w:p>
  </w:footnote>
  <w:footnote w:id="54">
    <w:p w14:paraId="13A28AF8" w14:textId="3E253605" w:rsidR="00A811B5" w:rsidRDefault="00A811B5">
      <w:pPr>
        <w:pStyle w:val="FootnoteText"/>
      </w:pPr>
      <w:r>
        <w:rPr>
          <w:rStyle w:val="FootnoteReference"/>
        </w:rPr>
        <w:footnoteRef/>
      </w:r>
      <w:r>
        <w:t xml:space="preserve"> American Convention on Human Rights 1969 Article 5.1</w:t>
      </w:r>
    </w:p>
  </w:footnote>
  <w:footnote w:id="55">
    <w:p w14:paraId="12AFD4AB" w14:textId="40576517" w:rsidR="00A811B5" w:rsidRDefault="00A811B5" w:rsidP="00A811B5">
      <w:pPr>
        <w:pStyle w:val="FootnoteText"/>
      </w:pPr>
      <w:r>
        <w:rPr>
          <w:rStyle w:val="FootnoteReference"/>
        </w:rPr>
        <w:footnoteRef/>
      </w:r>
      <w:r>
        <w:t xml:space="preserve"> American Convention on Human Rights 1969 A</w:t>
      </w:r>
      <w:r w:rsidR="00023FEB">
        <w:t>rticle 4</w:t>
      </w:r>
    </w:p>
    <w:p w14:paraId="7382D1DC" w14:textId="03A60238" w:rsidR="00A811B5" w:rsidRDefault="00A811B5">
      <w:pPr>
        <w:pStyle w:val="FootnoteText"/>
      </w:pPr>
    </w:p>
  </w:footnote>
  <w:footnote w:id="56">
    <w:p w14:paraId="232AFB09" w14:textId="146FFE19" w:rsidR="001023D7" w:rsidRPr="00265C3B" w:rsidRDefault="001023D7">
      <w:pPr>
        <w:pStyle w:val="FootnoteText"/>
        <w:rPr>
          <w:rFonts w:cs="Times New Roman"/>
        </w:rPr>
      </w:pPr>
      <w:r w:rsidRPr="00265C3B">
        <w:rPr>
          <w:rStyle w:val="FootnoteReference"/>
          <w:rFonts w:cs="Times New Roman"/>
        </w:rPr>
        <w:footnoteRef/>
      </w:r>
      <w:r w:rsidRPr="00265C3B">
        <w:rPr>
          <w:rFonts w:cs="Times New Roman"/>
        </w:rPr>
        <w:t xml:space="preserve"> Hypothetical </w:t>
      </w:r>
      <w:r w:rsidR="00613DF7">
        <w:t>Paragraph</w:t>
      </w:r>
      <w:r w:rsidR="00613DF7" w:rsidRPr="00265C3B">
        <w:rPr>
          <w:rFonts w:cs="Times New Roman"/>
        </w:rPr>
        <w:t xml:space="preserve"> </w:t>
      </w:r>
      <w:r w:rsidRPr="00265C3B">
        <w:rPr>
          <w:rFonts w:cs="Times New Roman"/>
        </w:rPr>
        <w:t>21</w:t>
      </w:r>
    </w:p>
  </w:footnote>
  <w:footnote w:id="57">
    <w:p w14:paraId="289D5B1E" w14:textId="1DCC95AA" w:rsidR="001023D7" w:rsidRDefault="001023D7">
      <w:pPr>
        <w:pStyle w:val="FootnoteText"/>
      </w:pPr>
      <w:r>
        <w:rPr>
          <w:rStyle w:val="FootnoteReference"/>
        </w:rPr>
        <w:footnoteRef/>
      </w:r>
      <w:r>
        <w:t xml:space="preserve"> Hypothetical Paragraphs 21, 26</w:t>
      </w:r>
    </w:p>
  </w:footnote>
  <w:footnote w:id="58">
    <w:p w14:paraId="5432A977" w14:textId="19F24BC1" w:rsidR="001023D7" w:rsidRPr="001F648F" w:rsidRDefault="001023D7" w:rsidP="00346FDA">
      <w:pPr>
        <w:shd w:val="clear" w:color="auto" w:fill="FFFFFF"/>
        <w:spacing w:line="264" w:lineRule="atLeast"/>
        <w:rPr>
          <w:rFonts w:ascii="Times New Roman" w:hAnsi="Times New Roman" w:cs="Times New Roman"/>
          <w:spacing w:val="3"/>
          <w:sz w:val="20"/>
          <w:szCs w:val="20"/>
        </w:rPr>
      </w:pPr>
      <w:r w:rsidRPr="001F648F">
        <w:rPr>
          <w:rStyle w:val="FootnoteReference"/>
          <w:rFonts w:ascii="Times New Roman" w:hAnsi="Times New Roman" w:cs="Times New Roman"/>
          <w:sz w:val="20"/>
          <w:szCs w:val="20"/>
        </w:rPr>
        <w:footnoteRef/>
      </w:r>
      <w:r w:rsidRPr="001F648F">
        <w:rPr>
          <w:rFonts w:ascii="Times New Roman" w:hAnsi="Times New Roman" w:cs="Times New Roman"/>
          <w:sz w:val="20"/>
          <w:szCs w:val="20"/>
        </w:rPr>
        <w:t xml:space="preserve"> </w:t>
      </w:r>
      <w:hyperlink r:id="rId1" w:history="1">
        <w:r w:rsidRPr="001F648F">
          <w:rPr>
            <w:rStyle w:val="Hyperlink"/>
            <w:rFonts w:ascii="Times New Roman" w:hAnsi="Times New Roman" w:cs="Times New Roman"/>
            <w:color w:val="auto"/>
            <w:spacing w:val="3"/>
            <w:sz w:val="20"/>
            <w:szCs w:val="20"/>
            <w:u w:val="none"/>
          </w:rPr>
          <w:t>Convention (IV) relative to the Protection of Civilian Persons in Time of War. Geneva, 12 August 1949.</w:t>
        </w:r>
      </w:hyperlink>
    </w:p>
  </w:footnote>
  <w:footnote w:id="59">
    <w:p w14:paraId="6CC52BD8" w14:textId="05B398E6" w:rsidR="001023D7" w:rsidRDefault="001023D7">
      <w:pPr>
        <w:pStyle w:val="FootnoteText"/>
      </w:pPr>
      <w:r>
        <w:rPr>
          <w:rStyle w:val="FootnoteReference"/>
        </w:rPr>
        <w:footnoteRef/>
      </w:r>
      <w:r>
        <w:t xml:space="preserve"> American Convention on Human Rights 1969 Article 16.1</w:t>
      </w:r>
    </w:p>
  </w:footnote>
  <w:footnote w:id="60">
    <w:p w14:paraId="5D29F416" w14:textId="4665D6A1" w:rsidR="001023D7" w:rsidRDefault="001023D7">
      <w:pPr>
        <w:pStyle w:val="FootnoteText"/>
      </w:pPr>
      <w:r>
        <w:rPr>
          <w:rStyle w:val="FootnoteReference"/>
        </w:rPr>
        <w:footnoteRef/>
      </w:r>
      <w:r>
        <w:t xml:space="preserve"> Article entitles identified victim(s) to, </w:t>
      </w:r>
      <w:r w:rsidRPr="00CD5BEF">
        <w:rPr>
          <w:i/>
        </w:rPr>
        <w:t>inter alia</w:t>
      </w:r>
      <w:r>
        <w:t>, fair compensation.</w:t>
      </w:r>
    </w:p>
  </w:footnote>
  <w:footnote w:id="61">
    <w:p w14:paraId="0B4B3FE2" w14:textId="08858956" w:rsidR="001023D7" w:rsidRDefault="001023D7">
      <w:pPr>
        <w:pStyle w:val="FootnoteText"/>
      </w:pPr>
      <w:r>
        <w:rPr>
          <w:rStyle w:val="FootnoteReference"/>
        </w:rPr>
        <w:footnoteRef/>
      </w:r>
      <w:r>
        <w:t xml:space="preserve"> American Convention on Human Rights 1969 Article 5.1</w:t>
      </w:r>
    </w:p>
  </w:footnote>
  <w:footnote w:id="62">
    <w:p w14:paraId="529581DD" w14:textId="3EE081B8" w:rsidR="001023D7" w:rsidRDefault="001023D7">
      <w:pPr>
        <w:pStyle w:val="FootnoteText"/>
      </w:pPr>
      <w:r>
        <w:rPr>
          <w:rStyle w:val="FootnoteReference"/>
        </w:rPr>
        <w:footnoteRef/>
      </w:r>
      <w:r>
        <w:t xml:space="preserve"> </w:t>
      </w:r>
      <w:r w:rsidRPr="00AD0AB2">
        <w:rPr>
          <w:i/>
        </w:rPr>
        <w:t>Case of B</w:t>
      </w:r>
      <w:r w:rsidR="00036C89">
        <w:rPr>
          <w:rFonts w:cs="Times New Roman"/>
          <w:i/>
        </w:rPr>
        <w:t>á</w:t>
      </w:r>
      <w:r w:rsidRPr="00AD0AB2">
        <w:rPr>
          <w:i/>
        </w:rPr>
        <w:t>maca-Vel</w:t>
      </w:r>
      <w:r w:rsidR="00036C89">
        <w:rPr>
          <w:rFonts w:cs="Times New Roman"/>
          <w:i/>
        </w:rPr>
        <w:t>á</w:t>
      </w:r>
      <w:r w:rsidRPr="00AD0AB2">
        <w:rPr>
          <w:i/>
        </w:rPr>
        <w:t>squez v. Guatemala</w:t>
      </w:r>
      <w:r>
        <w:t xml:space="preserve"> [I/A Court H.R.] 2000, Series C. NO. 91, Reparations and Costs</w:t>
      </w:r>
    </w:p>
  </w:footnote>
  <w:footnote w:id="63">
    <w:p w14:paraId="3BC68F1E" w14:textId="081A6C56" w:rsidR="001023D7" w:rsidRPr="00B453CE" w:rsidRDefault="001023D7">
      <w:pPr>
        <w:pStyle w:val="FootnoteText"/>
        <w:rPr>
          <w:rFonts w:cs="Times New Roman"/>
        </w:rPr>
      </w:pPr>
      <w:r w:rsidRPr="00346FDA">
        <w:rPr>
          <w:rStyle w:val="FootnoteReference"/>
          <w:rFonts w:cs="Times New Roman"/>
        </w:rPr>
        <w:footnoteRef/>
      </w:r>
      <w:r w:rsidRPr="00346FDA">
        <w:rPr>
          <w:rFonts w:cs="Times New Roman"/>
        </w:rPr>
        <w:t xml:space="preserve"> American Convention on Human Rights 1969 Article 5</w:t>
      </w:r>
    </w:p>
  </w:footnote>
  <w:footnote w:id="64">
    <w:p w14:paraId="4D6E5C1F" w14:textId="13CBD2E7" w:rsidR="001023D7" w:rsidRPr="00B453CE" w:rsidRDefault="001023D7">
      <w:pPr>
        <w:pStyle w:val="FootnoteText"/>
        <w:rPr>
          <w:rFonts w:cs="Times New Roman"/>
        </w:rPr>
      </w:pPr>
      <w:r w:rsidRPr="00B453CE">
        <w:rPr>
          <w:rStyle w:val="FootnoteReference"/>
          <w:rFonts w:cs="Times New Roman"/>
        </w:rPr>
        <w:footnoteRef/>
      </w:r>
      <w:r w:rsidRPr="00B453CE">
        <w:rPr>
          <w:rFonts w:cs="Times New Roman"/>
        </w:rPr>
        <w:t xml:space="preserve"> American Convention on Human Rights 1969 Article 7</w:t>
      </w:r>
      <w:r>
        <w:rPr>
          <w:rFonts w:cs="Times New Roman"/>
        </w:rPr>
        <w:t>.1</w:t>
      </w:r>
    </w:p>
  </w:footnote>
  <w:footnote w:id="65">
    <w:p w14:paraId="40EA8995" w14:textId="2179FC53" w:rsidR="00E80868" w:rsidRDefault="00E80868">
      <w:pPr>
        <w:pStyle w:val="FootnoteText"/>
      </w:pPr>
      <w:r>
        <w:rPr>
          <w:rStyle w:val="FootnoteReference"/>
        </w:rPr>
        <w:footnoteRef/>
      </w:r>
      <w:r>
        <w:t xml:space="preserve"> J</w:t>
      </w:r>
      <w:r w:rsidR="001A4F8E">
        <w:t>une 15</w:t>
      </w:r>
      <w:r>
        <w:t>, 2016</w:t>
      </w:r>
    </w:p>
  </w:footnote>
  <w:footnote w:id="66">
    <w:p w14:paraId="75B75FD1" w14:textId="77777777" w:rsidR="001023D7" w:rsidRDefault="001023D7" w:rsidP="00453115">
      <w:pPr>
        <w:pStyle w:val="FootnoteText"/>
      </w:pPr>
      <w:r>
        <w:rPr>
          <w:rStyle w:val="FootnoteReference"/>
        </w:rPr>
        <w:footnoteRef/>
      </w:r>
      <w:r>
        <w:t xml:space="preserve"> CQ 14</w:t>
      </w:r>
    </w:p>
  </w:footnote>
  <w:footnote w:id="67">
    <w:p w14:paraId="53279C95" w14:textId="7691A183" w:rsidR="001023D7" w:rsidRDefault="001023D7">
      <w:pPr>
        <w:pStyle w:val="FootnoteText"/>
      </w:pPr>
      <w:r>
        <w:rPr>
          <w:rStyle w:val="FootnoteReference"/>
        </w:rPr>
        <w:footnoteRef/>
      </w:r>
      <w:r>
        <w:t xml:space="preserve"> Hypothetical Paragraph 3</w:t>
      </w:r>
    </w:p>
  </w:footnote>
  <w:footnote w:id="68">
    <w:p w14:paraId="2952D1E4" w14:textId="6416E2BF" w:rsidR="001023D7" w:rsidRDefault="001023D7">
      <w:pPr>
        <w:pStyle w:val="FootnoteText"/>
      </w:pPr>
      <w:r>
        <w:rPr>
          <w:rStyle w:val="FootnoteReference"/>
        </w:rPr>
        <w:footnoteRef/>
      </w:r>
      <w:r>
        <w:t xml:space="preserve"> Organization of American States American Declaration on Rights of Indigenous Peoples 2016 Article 6</w:t>
      </w:r>
    </w:p>
  </w:footnote>
  <w:footnote w:id="69">
    <w:p w14:paraId="3C3AD2E8" w14:textId="7AD08B17" w:rsidR="001023D7" w:rsidRDefault="001023D7" w:rsidP="00453115">
      <w:pPr>
        <w:pStyle w:val="FootnoteText"/>
      </w:pPr>
      <w:r>
        <w:rPr>
          <w:rStyle w:val="FootnoteReference"/>
        </w:rPr>
        <w:footnoteRef/>
      </w:r>
      <w:r>
        <w:t xml:space="preserve"> </w:t>
      </w:r>
      <w:r w:rsidR="007D3CEA">
        <w:t>Ibid.</w:t>
      </w:r>
    </w:p>
  </w:footnote>
  <w:footnote w:id="70">
    <w:p w14:paraId="6284EBEE" w14:textId="5D0D3571" w:rsidR="001023D7" w:rsidRDefault="001023D7">
      <w:pPr>
        <w:pStyle w:val="FootnoteText"/>
      </w:pPr>
      <w:r>
        <w:rPr>
          <w:rStyle w:val="FootnoteReference"/>
        </w:rPr>
        <w:footnoteRef/>
      </w:r>
      <w:r>
        <w:t xml:space="preserve"> Hypothetical Paragraph 34</w:t>
      </w:r>
    </w:p>
  </w:footnote>
  <w:footnote w:id="71">
    <w:p w14:paraId="37B9EA72" w14:textId="77777777" w:rsidR="001023D7" w:rsidRPr="004E52BC" w:rsidRDefault="001023D7" w:rsidP="00453115">
      <w:pPr>
        <w:pStyle w:val="FootnoteText"/>
        <w:rPr>
          <w:rFonts w:cs="Times New Roman"/>
        </w:rPr>
      </w:pPr>
      <w:r w:rsidRPr="004E52BC">
        <w:rPr>
          <w:rStyle w:val="FootnoteReference"/>
          <w:rFonts w:cs="Times New Roman"/>
        </w:rPr>
        <w:footnoteRef/>
      </w:r>
      <w:r w:rsidRPr="004E52BC">
        <w:rPr>
          <w:rFonts w:cs="Times New Roman"/>
        </w:rPr>
        <w:t xml:space="preserve"> Organization of American States American Declaration on Rights of Indigenous Peoples 2016 Article 19</w:t>
      </w:r>
    </w:p>
  </w:footnote>
  <w:footnote w:id="72">
    <w:p w14:paraId="53F8293E" w14:textId="440724FB" w:rsidR="001023D7" w:rsidRDefault="001023D7">
      <w:pPr>
        <w:pStyle w:val="FootnoteText"/>
      </w:pPr>
      <w:r>
        <w:rPr>
          <w:rStyle w:val="FootnoteReference"/>
        </w:rPr>
        <w:footnoteRef/>
      </w:r>
      <w:r>
        <w:t xml:space="preserve"> 1972</w:t>
      </w:r>
    </w:p>
  </w:footnote>
  <w:footnote w:id="73">
    <w:p w14:paraId="5C6F17CD" w14:textId="7858A1AD" w:rsidR="001023D7" w:rsidRPr="004E52BC" w:rsidRDefault="001023D7" w:rsidP="004E52BC">
      <w:pPr>
        <w:pStyle w:val="Heading1"/>
        <w:shd w:val="clear" w:color="auto" w:fill="FFFFFF"/>
        <w:spacing w:after="0"/>
        <w:rPr>
          <w:rFonts w:ascii="Arial" w:hAnsi="Arial" w:cs="Arial"/>
          <w:color w:val="333333"/>
          <w:sz w:val="18"/>
          <w:szCs w:val="18"/>
        </w:rPr>
      </w:pPr>
      <w:r w:rsidRPr="004E52BC">
        <w:rPr>
          <w:rStyle w:val="FootnoteReference"/>
          <w:sz w:val="20"/>
          <w:szCs w:val="20"/>
        </w:rPr>
        <w:footnoteRef/>
      </w:r>
      <w:r w:rsidRPr="004E52BC">
        <w:rPr>
          <w:sz w:val="20"/>
          <w:szCs w:val="20"/>
        </w:rPr>
        <w:t xml:space="preserve"> </w:t>
      </w:r>
      <w:r>
        <w:rPr>
          <w:sz w:val="20"/>
          <w:szCs w:val="20"/>
        </w:rPr>
        <w:t xml:space="preserve">Amaduobogha, Simon Warikiyei, Environmental Regulation of Foreign Direct Investment (FDI) in the Oil and Gas Sector, </w:t>
      </w:r>
      <w:r w:rsidRPr="00843F85">
        <w:rPr>
          <w:i/>
          <w:color w:val="333333"/>
          <w:sz w:val="20"/>
          <w:szCs w:val="20"/>
        </w:rPr>
        <w:t>Law and Petroleum Industry</w:t>
      </w:r>
      <w:r>
        <w:rPr>
          <w:i/>
          <w:color w:val="333333"/>
          <w:sz w:val="20"/>
          <w:szCs w:val="20"/>
        </w:rPr>
        <w:t xml:space="preserve"> in Nigeria: Current Challenges</w:t>
      </w:r>
      <w:r w:rsidRPr="00843F85">
        <w:rPr>
          <w:i/>
          <w:color w:val="333333"/>
          <w:sz w:val="20"/>
          <w:szCs w:val="20"/>
        </w:rPr>
        <w:t>: Essays in Honour of Justice Kate Abiri</w:t>
      </w:r>
      <w:r>
        <w:rPr>
          <w:color w:val="333333"/>
          <w:sz w:val="20"/>
          <w:szCs w:val="20"/>
        </w:rPr>
        <w:t xml:space="preserve"> (Malthouse Press Limited, Lagos, 2009) Pages 127-131</w:t>
      </w:r>
    </w:p>
  </w:footnote>
  <w:footnote w:id="74">
    <w:p w14:paraId="4FB8514A" w14:textId="2582B80A" w:rsidR="001023D7" w:rsidRDefault="001023D7">
      <w:pPr>
        <w:pStyle w:val="FootnoteText"/>
      </w:pPr>
      <w:r>
        <w:rPr>
          <w:rStyle w:val="FootnoteReference"/>
        </w:rPr>
        <w:footnoteRef/>
      </w:r>
      <w:r>
        <w:t xml:space="preserve"> </w:t>
      </w:r>
      <w:r w:rsidRPr="004E52BC">
        <w:rPr>
          <w:rFonts w:cs="Times New Roman"/>
        </w:rPr>
        <w:t>Organization of American States American Declaration on Rights of Indigenous Peoples 2016 Article 19</w:t>
      </w:r>
    </w:p>
  </w:footnote>
  <w:footnote w:id="75">
    <w:p w14:paraId="198D6A41" w14:textId="77777777" w:rsidR="001023D7" w:rsidRPr="00386672" w:rsidRDefault="001023D7" w:rsidP="00021205">
      <w:pPr>
        <w:pStyle w:val="FootnoteText"/>
      </w:pPr>
      <w:r>
        <w:rPr>
          <w:rStyle w:val="FootnoteReference"/>
        </w:rPr>
        <w:footnoteRef/>
      </w:r>
      <w:r>
        <w:t xml:space="preserve"> Inter-American Court of Human Rights Provisional Measures Regarding Ecuador, Order of Provisional Measures </w:t>
      </w:r>
      <w:r w:rsidRPr="00386672">
        <w:t>Section 1, July 6, 2004</w:t>
      </w:r>
    </w:p>
  </w:footnote>
  <w:footnote w:id="76">
    <w:p w14:paraId="55A07B82" w14:textId="36F8D788" w:rsidR="001023D7" w:rsidRPr="00386672" w:rsidRDefault="001023D7" w:rsidP="00610D1C">
      <w:pPr>
        <w:pStyle w:val="Heading3"/>
        <w:shd w:val="clear" w:color="auto" w:fill="FFFFFF"/>
        <w:spacing w:before="300" w:after="150"/>
        <w:rPr>
          <w:b w:val="0"/>
          <w:i w:val="0"/>
          <w:color w:val="auto"/>
          <w:sz w:val="20"/>
          <w:szCs w:val="20"/>
        </w:rPr>
      </w:pPr>
      <w:r w:rsidRPr="00386672">
        <w:rPr>
          <w:rStyle w:val="FootnoteReference"/>
          <w:b w:val="0"/>
          <w:i w:val="0"/>
          <w:color w:val="auto"/>
          <w:sz w:val="20"/>
          <w:szCs w:val="20"/>
        </w:rPr>
        <w:footnoteRef/>
      </w:r>
      <w:r w:rsidRPr="00386672">
        <w:rPr>
          <w:b w:val="0"/>
          <w:i w:val="0"/>
          <w:color w:val="auto"/>
          <w:sz w:val="20"/>
          <w:szCs w:val="20"/>
        </w:rPr>
        <w:t xml:space="preserve"> Confirming Rights:  Inter-American Court Ruling Marks Key Victory for Sarayaku People in Ecuador, September 2012 </w:t>
      </w:r>
      <w:hyperlink r:id="rId2" w:history="1">
        <w:r w:rsidRPr="00386672">
          <w:rPr>
            <w:rStyle w:val="Hyperlink"/>
            <w:b w:val="0"/>
            <w:i w:val="0"/>
            <w:color w:val="auto"/>
            <w:sz w:val="20"/>
            <w:szCs w:val="20"/>
            <w:u w:val="none"/>
          </w:rPr>
          <w:t>Cultural Survival Quarterly Magazine</w:t>
        </w:r>
      </w:hyperlink>
    </w:p>
  </w:footnote>
  <w:footnote w:id="77">
    <w:p w14:paraId="41CA53FA" w14:textId="482368BA" w:rsidR="001023D7" w:rsidRDefault="001023D7">
      <w:pPr>
        <w:pStyle w:val="FootnoteText"/>
      </w:pPr>
      <w:r w:rsidRPr="00386672">
        <w:rPr>
          <w:rStyle w:val="FootnoteReference"/>
        </w:rPr>
        <w:footnoteRef/>
      </w:r>
      <w:r w:rsidRPr="00386672">
        <w:t xml:space="preserve"> </w:t>
      </w:r>
      <w:r w:rsidRPr="004C1AE1">
        <w:rPr>
          <w:i/>
        </w:rPr>
        <w:t xml:space="preserve">Case of </w:t>
      </w:r>
      <w:r w:rsidRPr="004C1AE1">
        <w:rPr>
          <w:rFonts w:cs="Times New Roman"/>
          <w:i/>
        </w:rPr>
        <w:t>Kichwa Indigenous Peopl</w:t>
      </w:r>
      <w:r w:rsidR="004C1AE1" w:rsidRPr="004C1AE1">
        <w:rPr>
          <w:rFonts w:cs="Times New Roman"/>
          <w:i/>
        </w:rPr>
        <w:t>e of Sarayaku v. Ecuador</w:t>
      </w:r>
      <w:r w:rsidR="004C1AE1">
        <w:rPr>
          <w:rFonts w:cs="Times New Roman"/>
        </w:rPr>
        <w:t xml:space="preserve"> </w:t>
      </w:r>
      <w:r>
        <w:rPr>
          <w:rFonts w:cs="Times New Roman"/>
        </w:rPr>
        <w:t>[I/A Ct. H.R.] 2012</w:t>
      </w:r>
    </w:p>
  </w:footnote>
  <w:footnote w:id="78">
    <w:p w14:paraId="08AF07D1" w14:textId="77777777" w:rsidR="001023D7" w:rsidRPr="00386672" w:rsidRDefault="001023D7" w:rsidP="00021205">
      <w:pPr>
        <w:pStyle w:val="FootnoteText"/>
      </w:pPr>
      <w:r w:rsidRPr="00386672">
        <w:rPr>
          <w:rStyle w:val="FootnoteReference"/>
        </w:rPr>
        <w:footnoteRef/>
      </w:r>
      <w:r w:rsidRPr="00386672">
        <w:t xml:space="preserve"> Inter-American Court of Human Rights Provisional Measures Regarding Ecuador, Section 2(u)</w:t>
      </w:r>
    </w:p>
  </w:footnote>
  <w:footnote w:id="79">
    <w:p w14:paraId="3DCB8B62" w14:textId="77777777" w:rsidR="001023D7" w:rsidRDefault="001023D7" w:rsidP="00021205">
      <w:pPr>
        <w:pStyle w:val="FootnoteText"/>
      </w:pPr>
      <w:r w:rsidRPr="00386672">
        <w:rPr>
          <w:rStyle w:val="FootnoteReference"/>
        </w:rPr>
        <w:footnoteRef/>
      </w:r>
      <w:r w:rsidRPr="00386672">
        <w:t xml:space="preserve"> Ecuador’s entry into the Inter-American system is marked by the OAS </w:t>
      </w:r>
      <w:r>
        <w:t xml:space="preserve">Web site as 1889. </w:t>
      </w:r>
    </w:p>
  </w:footnote>
  <w:footnote w:id="80">
    <w:p w14:paraId="4F8490E7" w14:textId="426B1CE3" w:rsidR="001023D7" w:rsidRDefault="001023D7">
      <w:pPr>
        <w:pStyle w:val="FootnoteText"/>
      </w:pPr>
      <w:r>
        <w:rPr>
          <w:rStyle w:val="FootnoteReference"/>
        </w:rPr>
        <w:footnoteRef/>
      </w:r>
      <w:r>
        <w:t xml:space="preserve"> The Court required Ecuador’s proof of compliance with its order by May 1, 2010.</w:t>
      </w:r>
    </w:p>
  </w:footnote>
  <w:footnote w:id="81">
    <w:p w14:paraId="222A4DB7" w14:textId="26E11575" w:rsidR="001023D7" w:rsidRDefault="001023D7">
      <w:pPr>
        <w:pStyle w:val="FootnoteText"/>
      </w:pPr>
      <w:r>
        <w:rPr>
          <w:rStyle w:val="FootnoteReference"/>
        </w:rPr>
        <w:footnoteRef/>
      </w:r>
      <w:r>
        <w:t xml:space="preserve"> Hypothetical Paragraph 3</w:t>
      </w:r>
    </w:p>
  </w:footnote>
  <w:footnote w:id="82">
    <w:p w14:paraId="186AAC0B" w14:textId="5220BFFF" w:rsidR="001023D7" w:rsidRDefault="001023D7">
      <w:pPr>
        <w:pStyle w:val="FootnoteText"/>
      </w:pPr>
      <w:r>
        <w:rPr>
          <w:rStyle w:val="FootnoteReference"/>
        </w:rPr>
        <w:footnoteRef/>
      </w:r>
      <w:r>
        <w:t xml:space="preserve"> Hypothetical Paragraph 22</w:t>
      </w:r>
    </w:p>
  </w:footnote>
  <w:footnote w:id="83">
    <w:p w14:paraId="23339FB3" w14:textId="6BA02521" w:rsidR="001023D7" w:rsidRDefault="001023D7">
      <w:pPr>
        <w:pStyle w:val="FootnoteText"/>
      </w:pPr>
      <w:r>
        <w:rPr>
          <w:rStyle w:val="FootnoteReference"/>
        </w:rPr>
        <w:footnoteRef/>
      </w:r>
      <w:r>
        <w:t xml:space="preserve"> Hypothetical Paragraph 26</w:t>
      </w:r>
    </w:p>
  </w:footnote>
  <w:footnote w:id="84">
    <w:p w14:paraId="071C239D" w14:textId="72B45266" w:rsidR="001023D7" w:rsidRDefault="001023D7">
      <w:pPr>
        <w:pStyle w:val="FootnoteText"/>
      </w:pPr>
      <w:r>
        <w:rPr>
          <w:rStyle w:val="FootnoteReference"/>
        </w:rPr>
        <w:footnoteRef/>
      </w:r>
      <w:r>
        <w:t xml:space="preserve"> CQ 4</w:t>
      </w:r>
    </w:p>
  </w:footnote>
  <w:footnote w:id="85">
    <w:p w14:paraId="0F8D65EF" w14:textId="0FDBC4CC" w:rsidR="001023D7" w:rsidRDefault="001023D7">
      <w:pPr>
        <w:pStyle w:val="FootnoteText"/>
      </w:pPr>
      <w:r>
        <w:rPr>
          <w:rStyle w:val="FootnoteReference"/>
        </w:rPr>
        <w:footnoteRef/>
      </w:r>
      <w:r>
        <w:t xml:space="preserve"> CQ 14</w:t>
      </w:r>
    </w:p>
  </w:footnote>
  <w:footnote w:id="86">
    <w:p w14:paraId="7A95957C" w14:textId="2773D45C" w:rsidR="001023D7" w:rsidRDefault="001023D7">
      <w:pPr>
        <w:pStyle w:val="FootnoteText"/>
      </w:pPr>
      <w:r>
        <w:rPr>
          <w:rStyle w:val="FootnoteReference"/>
        </w:rPr>
        <w:footnoteRef/>
      </w:r>
      <w:r>
        <w:t xml:space="preserve"> Hypothetical Paragraph 23</w:t>
      </w:r>
    </w:p>
  </w:footnote>
  <w:footnote w:id="87">
    <w:p w14:paraId="6078FC03" w14:textId="466A2844" w:rsidR="001023D7" w:rsidRDefault="001023D7">
      <w:pPr>
        <w:pStyle w:val="FootnoteText"/>
      </w:pPr>
      <w:r>
        <w:rPr>
          <w:rStyle w:val="FootnoteReference"/>
        </w:rPr>
        <w:footnoteRef/>
      </w:r>
      <w:r>
        <w:t xml:space="preserve"> CQ 14</w:t>
      </w:r>
    </w:p>
  </w:footnote>
  <w:footnote w:id="88">
    <w:p w14:paraId="54502CF4" w14:textId="5AD2EF47" w:rsidR="001023D7" w:rsidRDefault="001023D7">
      <w:pPr>
        <w:pStyle w:val="FootnoteText"/>
      </w:pPr>
      <w:r>
        <w:rPr>
          <w:rStyle w:val="FootnoteReference"/>
        </w:rPr>
        <w:footnoteRef/>
      </w:r>
      <w:r>
        <w:t xml:space="preserve"> Charter of the Organization of American States, Preamble, 1948</w:t>
      </w:r>
    </w:p>
  </w:footnote>
  <w:footnote w:id="89">
    <w:p w14:paraId="29D32D7A" w14:textId="5E9990C5" w:rsidR="001023D7" w:rsidRDefault="001023D7">
      <w:pPr>
        <w:pStyle w:val="FootnoteText"/>
      </w:pPr>
      <w:r>
        <w:rPr>
          <w:rStyle w:val="FootnoteReference"/>
        </w:rPr>
        <w:footnoteRef/>
      </w:r>
      <w:r>
        <w:t xml:space="preserve"> American Convention on Human Rights, Article 24 1969</w:t>
      </w:r>
    </w:p>
  </w:footnote>
  <w:footnote w:id="90">
    <w:p w14:paraId="1E0DE556" w14:textId="518A46FD" w:rsidR="001023D7" w:rsidRDefault="001023D7">
      <w:pPr>
        <w:pStyle w:val="FootnoteText"/>
      </w:pPr>
      <w:r>
        <w:rPr>
          <w:rStyle w:val="FootnoteReference"/>
        </w:rPr>
        <w:footnoteRef/>
      </w:r>
      <w:r>
        <w:t xml:space="preserve"> American Declaration of the Rights and Duties of Man, Article II 1948; Declaration of the High-Level Meeting on the Rule of Law, para. 2, 2012; Universal Declaration of Human Rights, Article 7, 1948</w:t>
      </w:r>
    </w:p>
  </w:footnote>
  <w:footnote w:id="91">
    <w:p w14:paraId="3372561E" w14:textId="4E131025" w:rsidR="001023D7" w:rsidRDefault="001023D7">
      <w:pPr>
        <w:pStyle w:val="FootnoteText"/>
      </w:pPr>
      <w:r>
        <w:rPr>
          <w:rStyle w:val="FootnoteReference"/>
        </w:rPr>
        <w:footnoteRef/>
      </w:r>
      <w:r>
        <w:t xml:space="preserve"> American Convention on Human Rights, Article 8.1 1969</w:t>
      </w:r>
    </w:p>
  </w:footnote>
  <w:footnote w:id="92">
    <w:p w14:paraId="007D09D9" w14:textId="13FD0D42" w:rsidR="001023D7" w:rsidRDefault="001023D7">
      <w:pPr>
        <w:pStyle w:val="FootnoteText"/>
      </w:pPr>
      <w:r>
        <w:rPr>
          <w:rStyle w:val="FootnoteReference"/>
        </w:rPr>
        <w:footnoteRef/>
      </w:r>
      <w:r>
        <w:t xml:space="preserve"> American Convention on Human Rights, Article 8.2(h) 1969</w:t>
      </w:r>
    </w:p>
  </w:footnote>
  <w:footnote w:id="93">
    <w:p w14:paraId="430BFCB5" w14:textId="5DEA48B1" w:rsidR="001023D7" w:rsidRDefault="001023D7">
      <w:pPr>
        <w:pStyle w:val="FootnoteText"/>
      </w:pPr>
      <w:r>
        <w:rPr>
          <w:rStyle w:val="FootnoteReference"/>
        </w:rPr>
        <w:footnoteRef/>
      </w:r>
      <w:r>
        <w:t xml:space="preserve"> Hypothetical Paragraph 9</w:t>
      </w:r>
    </w:p>
  </w:footnote>
  <w:footnote w:id="94">
    <w:p w14:paraId="48B91496" w14:textId="321D9FD5" w:rsidR="001023D7" w:rsidRDefault="001023D7">
      <w:pPr>
        <w:pStyle w:val="FootnoteText"/>
      </w:pPr>
      <w:r>
        <w:rPr>
          <w:rStyle w:val="FootnoteReference"/>
        </w:rPr>
        <w:footnoteRef/>
      </w:r>
      <w:r>
        <w:t xml:space="preserve"> Hypothetical Paragraph 10</w:t>
      </w:r>
    </w:p>
  </w:footnote>
  <w:footnote w:id="95">
    <w:p w14:paraId="1FE5575E" w14:textId="39A83EDC" w:rsidR="001023D7" w:rsidRDefault="001023D7">
      <w:pPr>
        <w:pStyle w:val="FootnoteText"/>
      </w:pPr>
      <w:r>
        <w:rPr>
          <w:rStyle w:val="FootnoteReference"/>
        </w:rPr>
        <w:footnoteRef/>
      </w:r>
      <w:r>
        <w:t xml:space="preserve"> Hypothetical Paragraph 22</w:t>
      </w:r>
    </w:p>
  </w:footnote>
  <w:footnote w:id="96">
    <w:p w14:paraId="4F087D10" w14:textId="2329EFC5" w:rsidR="001023D7" w:rsidRDefault="001023D7">
      <w:pPr>
        <w:pStyle w:val="FootnoteText"/>
      </w:pPr>
      <w:r>
        <w:rPr>
          <w:rStyle w:val="FootnoteReference"/>
        </w:rPr>
        <w:footnoteRef/>
      </w:r>
      <w:r>
        <w:t xml:space="preserve"> Juridical Condition and Rights of Undocumented Migrants, Advisory Opinion, OC-18/2003, p. 8 (I/A Court H.R.)</w:t>
      </w:r>
    </w:p>
  </w:footnote>
  <w:footnote w:id="97">
    <w:p w14:paraId="0EA7D67E" w14:textId="21C4BED6" w:rsidR="001023D7" w:rsidRDefault="001023D7">
      <w:pPr>
        <w:pStyle w:val="FootnoteText"/>
      </w:pPr>
      <w:r>
        <w:rPr>
          <w:rStyle w:val="FootnoteReference"/>
        </w:rPr>
        <w:footnoteRef/>
      </w:r>
      <w:r>
        <w:t xml:space="preserve"> </w:t>
      </w:r>
      <w:r w:rsidR="00870A7F">
        <w:t xml:space="preserve">Ibid. p. 9 </w:t>
      </w:r>
    </w:p>
  </w:footnote>
  <w:footnote w:id="98">
    <w:p w14:paraId="44C3368C" w14:textId="4364765E" w:rsidR="001023D7" w:rsidRDefault="001023D7">
      <w:pPr>
        <w:pStyle w:val="FootnoteText"/>
      </w:pPr>
      <w:r>
        <w:rPr>
          <w:rStyle w:val="FootnoteReference"/>
        </w:rPr>
        <w:footnoteRef/>
      </w:r>
      <w:r>
        <w:t xml:space="preserve"> Inter-American Commission Executive Summary, “Access to Justice as a Guarantee of Economic, Social, and Cultural Rights.  A Review of the Standards Adopted by the Inter-American System of Human Rights” n.d.</w:t>
      </w:r>
    </w:p>
  </w:footnote>
  <w:footnote w:id="99">
    <w:p w14:paraId="75D71C03" w14:textId="6AFDFAD1" w:rsidR="001023D7" w:rsidRDefault="001023D7">
      <w:pPr>
        <w:pStyle w:val="FootnoteText"/>
      </w:pPr>
      <w:r>
        <w:rPr>
          <w:rStyle w:val="FootnoteReference"/>
        </w:rPr>
        <w:footnoteRef/>
      </w:r>
      <w:r>
        <w:t xml:space="preserve"> </w:t>
      </w:r>
      <w:r w:rsidR="006366CF">
        <w:t>Ibid. Para. 1</w:t>
      </w:r>
    </w:p>
  </w:footnote>
  <w:footnote w:id="100">
    <w:p w14:paraId="012B2C38" w14:textId="79FEA62F" w:rsidR="001023D7" w:rsidRDefault="001023D7">
      <w:pPr>
        <w:pStyle w:val="FootnoteText"/>
      </w:pPr>
      <w:r>
        <w:rPr>
          <w:rStyle w:val="FootnoteReference"/>
        </w:rPr>
        <w:footnoteRef/>
      </w:r>
      <w:r>
        <w:t xml:space="preserve"> Inter-American Commission Executive Summary, “Access to Justice as a Guarantee of Economic, Social, and Cultural Rights.  A Review of the Standards Adopted by the Inter-American System of Human Rights” Paragraph 80(a), n.d.</w:t>
      </w:r>
    </w:p>
  </w:footnote>
  <w:footnote w:id="101">
    <w:p w14:paraId="0B52130C" w14:textId="50AC7C39" w:rsidR="001023D7" w:rsidRDefault="001023D7">
      <w:pPr>
        <w:pStyle w:val="FootnoteText"/>
      </w:pPr>
      <w:r>
        <w:rPr>
          <w:rStyle w:val="FootnoteReference"/>
        </w:rPr>
        <w:footnoteRef/>
      </w:r>
      <w:r>
        <w:t xml:space="preserve"> Hypothetical Paragraph 6  </w:t>
      </w:r>
    </w:p>
  </w:footnote>
  <w:footnote w:id="102">
    <w:p w14:paraId="65E1987F" w14:textId="61C9133E" w:rsidR="001023D7" w:rsidRDefault="001023D7">
      <w:pPr>
        <w:pStyle w:val="FootnoteText"/>
      </w:pPr>
      <w:r>
        <w:rPr>
          <w:rStyle w:val="FootnoteReference"/>
        </w:rPr>
        <w:footnoteRef/>
      </w:r>
      <w:r>
        <w:t xml:space="preserve"> Hypothetical Paragraph 3</w:t>
      </w:r>
    </w:p>
  </w:footnote>
  <w:footnote w:id="103">
    <w:p w14:paraId="0BB9D642" w14:textId="0DE79F60" w:rsidR="001023D7" w:rsidRDefault="001023D7">
      <w:pPr>
        <w:pStyle w:val="FootnoteText"/>
      </w:pPr>
      <w:r>
        <w:rPr>
          <w:rStyle w:val="FootnoteReference"/>
        </w:rPr>
        <w:footnoteRef/>
      </w:r>
      <w:r>
        <w:t xml:space="preserve"> Hypothetical Paragraph 10</w:t>
      </w:r>
    </w:p>
  </w:footnote>
  <w:footnote w:id="104">
    <w:p w14:paraId="06E7F871" w14:textId="6A70CA77" w:rsidR="001023D7" w:rsidRDefault="001023D7">
      <w:pPr>
        <w:pStyle w:val="FootnoteText"/>
      </w:pPr>
      <w:r>
        <w:rPr>
          <w:rStyle w:val="FootnoteReference"/>
        </w:rPr>
        <w:footnoteRef/>
      </w:r>
      <w:r>
        <w:t xml:space="preserve"> Inter-American Commission Executive Summary, “Access to Justice as a Guarantee of Economic, Social, and Cultural Rights.  A Review of the Standards Adopted by the Inter-American System of Human Rights” Para. 1 n.d.</w:t>
      </w:r>
    </w:p>
  </w:footnote>
  <w:footnote w:id="105">
    <w:p w14:paraId="7EF749F2" w14:textId="041428FA" w:rsidR="001023D7" w:rsidRDefault="001023D7">
      <w:pPr>
        <w:pStyle w:val="FootnoteText"/>
      </w:pPr>
      <w:r>
        <w:rPr>
          <w:rStyle w:val="FootnoteReference"/>
        </w:rPr>
        <w:footnoteRef/>
      </w:r>
      <w:r>
        <w:t xml:space="preserve"> Hypothetical Paragraph 10</w:t>
      </w:r>
    </w:p>
  </w:footnote>
  <w:footnote w:id="106">
    <w:p w14:paraId="70AE6391" w14:textId="65F48352" w:rsidR="001023D7" w:rsidRDefault="001023D7">
      <w:pPr>
        <w:pStyle w:val="FootnoteText"/>
      </w:pPr>
      <w:r>
        <w:rPr>
          <w:rStyle w:val="FootnoteReference"/>
        </w:rPr>
        <w:footnoteRef/>
      </w:r>
      <w:r>
        <w:t xml:space="preserve"> Hypothetical Paragraph 24</w:t>
      </w:r>
    </w:p>
  </w:footnote>
  <w:footnote w:id="107">
    <w:p w14:paraId="7EC87189" w14:textId="370BCDB9" w:rsidR="001023D7" w:rsidRDefault="001023D7">
      <w:pPr>
        <w:pStyle w:val="FootnoteText"/>
      </w:pPr>
      <w:r>
        <w:rPr>
          <w:rStyle w:val="FootnoteReference"/>
        </w:rPr>
        <w:footnoteRef/>
      </w:r>
      <w:r>
        <w:t xml:space="preserve"> Hypothetical Paragraph 29</w:t>
      </w:r>
    </w:p>
  </w:footnote>
  <w:footnote w:id="108">
    <w:p w14:paraId="51DFB357" w14:textId="05B1D57F" w:rsidR="001023D7" w:rsidRDefault="001023D7">
      <w:pPr>
        <w:pStyle w:val="FootnoteText"/>
      </w:pPr>
      <w:r>
        <w:rPr>
          <w:rStyle w:val="FootnoteReference"/>
        </w:rPr>
        <w:footnoteRef/>
      </w:r>
      <w:r>
        <w:t xml:space="preserve"> Hypothetical Paragraphs 24, 29</w:t>
      </w:r>
    </w:p>
  </w:footnote>
  <w:footnote w:id="109">
    <w:p w14:paraId="615891C3" w14:textId="1FDE32F6" w:rsidR="001023D7" w:rsidRDefault="001023D7">
      <w:pPr>
        <w:pStyle w:val="FootnoteText"/>
      </w:pPr>
      <w:r>
        <w:rPr>
          <w:rStyle w:val="FootnoteReference"/>
        </w:rPr>
        <w:footnoteRef/>
      </w:r>
      <w:r>
        <w:t xml:space="preserve"> Inter-American Commission Executive Summary, “Access to Justice as a Guarantee of Economic, Social, and Cultural Rights.  A Review of the Standards Adopted by the Inter-American System of Human Rights” Paragraph 80(a), n.d.</w:t>
      </w:r>
    </w:p>
  </w:footnote>
  <w:footnote w:id="110">
    <w:p w14:paraId="7435623A" w14:textId="77777777" w:rsidR="001023D7" w:rsidRDefault="001023D7" w:rsidP="00954A88">
      <w:pPr>
        <w:pStyle w:val="FootnoteText"/>
      </w:pPr>
      <w:r w:rsidRPr="00AD4641">
        <w:rPr>
          <w:rStyle w:val="FootnoteReference"/>
          <w:rFonts w:cs="Times New Roman"/>
        </w:rPr>
        <w:footnoteRef/>
      </w:r>
      <w:r w:rsidRPr="00AD4641">
        <w:rPr>
          <w:rFonts w:cs="Times New Roman"/>
        </w:rPr>
        <w:t xml:space="preserve"> American Convention on Human Rights 1969 Article 11</w:t>
      </w:r>
      <w:r>
        <w:rPr>
          <w:rFonts w:cs="Times New Roman"/>
        </w:rPr>
        <w:t>.2</w:t>
      </w:r>
    </w:p>
  </w:footnote>
  <w:footnote w:id="111">
    <w:p w14:paraId="3F064341" w14:textId="4CACF6A2" w:rsidR="001023D7" w:rsidRDefault="001023D7" w:rsidP="00954A88">
      <w:pPr>
        <w:pStyle w:val="FootnoteText"/>
      </w:pPr>
      <w:r>
        <w:rPr>
          <w:rStyle w:val="FootnoteReference"/>
        </w:rPr>
        <w:footnoteRef/>
      </w:r>
      <w:r>
        <w:t xml:space="preserve"> </w:t>
      </w:r>
      <w:r w:rsidR="001A1E84">
        <w:rPr>
          <w:rFonts w:cs="Times New Roman"/>
        </w:rPr>
        <w:t>Ibid. Article</w:t>
      </w:r>
      <w:r w:rsidRPr="00AD4641">
        <w:rPr>
          <w:rFonts w:cs="Times New Roman"/>
        </w:rPr>
        <w:t xml:space="preserve"> 11</w:t>
      </w:r>
      <w:r>
        <w:rPr>
          <w:rFonts w:cs="Times New Roman"/>
        </w:rPr>
        <w:t>.3</w:t>
      </w:r>
    </w:p>
  </w:footnote>
  <w:footnote w:id="112">
    <w:p w14:paraId="3F52F681" w14:textId="755F4EE9" w:rsidR="001023D7" w:rsidRDefault="001023D7">
      <w:pPr>
        <w:pStyle w:val="FootnoteText"/>
      </w:pPr>
      <w:r>
        <w:rPr>
          <w:rStyle w:val="FootnoteReference"/>
        </w:rPr>
        <w:footnoteRef/>
      </w:r>
      <w:r>
        <w:t xml:space="preserve"> CQ 5</w:t>
      </w:r>
    </w:p>
  </w:footnote>
  <w:footnote w:id="113">
    <w:p w14:paraId="6E4EFBF0" w14:textId="77777777" w:rsidR="001023D7" w:rsidRDefault="001023D7" w:rsidP="00954A88">
      <w:pPr>
        <w:pStyle w:val="FootnoteText"/>
      </w:pPr>
      <w:r>
        <w:rPr>
          <w:rStyle w:val="FootnoteReference"/>
        </w:rPr>
        <w:footnoteRef/>
      </w:r>
      <w:r>
        <w:t xml:space="preserve"> </w:t>
      </w:r>
      <w:r>
        <w:rPr>
          <w:rFonts w:cs="Times New Roman"/>
        </w:rPr>
        <w:t>Hypothetical Case Para. 3</w:t>
      </w:r>
    </w:p>
  </w:footnote>
  <w:footnote w:id="114">
    <w:p w14:paraId="44C6FC2B" w14:textId="33330E57" w:rsidR="001023D7" w:rsidRPr="00983E8C" w:rsidRDefault="001023D7">
      <w:pPr>
        <w:pStyle w:val="FootnoteText"/>
      </w:pPr>
      <w:r w:rsidRPr="00983E8C">
        <w:rPr>
          <w:rStyle w:val="FootnoteReference"/>
        </w:rPr>
        <w:footnoteRef/>
      </w:r>
      <w:r w:rsidRPr="00983E8C">
        <w:t xml:space="preserve"> Organization of American States American Declaration on Rights of Indigenous Peoples 2016 Article 6</w:t>
      </w:r>
    </w:p>
  </w:footnote>
  <w:footnote w:id="115">
    <w:p w14:paraId="70E51BAA" w14:textId="07BC88E5" w:rsidR="001023D7" w:rsidRPr="00983E8C" w:rsidRDefault="001023D7">
      <w:pPr>
        <w:pStyle w:val="FootnoteText"/>
        <w:rPr>
          <w:i/>
        </w:rPr>
      </w:pPr>
      <w:r w:rsidRPr="00983E8C">
        <w:rPr>
          <w:rStyle w:val="FootnoteReference"/>
        </w:rPr>
        <w:footnoteRef/>
      </w:r>
      <w:r w:rsidRPr="00983E8C">
        <w:t xml:space="preserve"> </w:t>
      </w:r>
      <w:r w:rsidRPr="00983E8C">
        <w:rPr>
          <w:i/>
        </w:rPr>
        <w:t xml:space="preserve">Case of </w:t>
      </w:r>
      <w:r w:rsidRPr="00983E8C">
        <w:rPr>
          <w:rFonts w:cs="Times New Roman"/>
          <w:i/>
        </w:rPr>
        <w:t xml:space="preserve">Kichwa Indigenous People of Sarayaku v. Ecuador </w:t>
      </w:r>
      <w:r>
        <w:rPr>
          <w:rFonts w:cs="Times New Roman"/>
        </w:rPr>
        <w:t>[</w:t>
      </w:r>
      <w:r w:rsidRPr="00983E8C">
        <w:rPr>
          <w:rFonts w:cs="Times New Roman"/>
        </w:rPr>
        <w:t>2012</w:t>
      </w:r>
      <w:r>
        <w:rPr>
          <w:rFonts w:cs="Times New Roman"/>
        </w:rPr>
        <w:t>]</w:t>
      </w:r>
      <w:r>
        <w:rPr>
          <w:rFonts w:cs="Times New Roman"/>
          <w:i/>
        </w:rPr>
        <w:t xml:space="preserve"> </w:t>
      </w:r>
      <w:r w:rsidRPr="00385987">
        <w:rPr>
          <w:rFonts w:cs="Times New Roman"/>
        </w:rPr>
        <w:t>(I/A Court H.R.)</w:t>
      </w:r>
    </w:p>
  </w:footnote>
  <w:footnote w:id="116">
    <w:p w14:paraId="33A3E42A" w14:textId="5A9A073E" w:rsidR="001023D7" w:rsidRDefault="001023D7">
      <w:pPr>
        <w:pStyle w:val="FootnoteText"/>
      </w:pPr>
      <w:r>
        <w:rPr>
          <w:rStyle w:val="FootnoteReference"/>
        </w:rPr>
        <w:footnoteRef/>
      </w:r>
      <w:r>
        <w:t xml:space="preserve"> American Declaration on the Rights of Indigenous Peoples, Article V, XXV</w:t>
      </w:r>
    </w:p>
  </w:footnote>
  <w:footnote w:id="117">
    <w:p w14:paraId="53192B75" w14:textId="5BFB992B" w:rsidR="001023D7" w:rsidRDefault="001023D7">
      <w:pPr>
        <w:pStyle w:val="FootnoteText"/>
      </w:pPr>
      <w:r>
        <w:rPr>
          <w:rStyle w:val="FootnoteReference"/>
        </w:rPr>
        <w:footnoteRef/>
      </w:r>
      <w:r>
        <w:t xml:space="preserve"> Hypothetical Paragraph 22</w:t>
      </w:r>
    </w:p>
  </w:footnote>
  <w:footnote w:id="118">
    <w:p w14:paraId="7868AB74" w14:textId="45335F2A" w:rsidR="001023D7" w:rsidRPr="00E6487F" w:rsidRDefault="001023D7">
      <w:pPr>
        <w:pStyle w:val="FootnoteText"/>
      </w:pPr>
      <w:r>
        <w:rPr>
          <w:rStyle w:val="FootnoteReference"/>
        </w:rPr>
        <w:footnoteRef/>
      </w:r>
      <w:r>
        <w:t xml:space="preserve"> Rodriguez, Katitza, Hern</w:t>
      </w:r>
      <w:r>
        <w:rPr>
          <w:rFonts w:cs="Times New Roman"/>
        </w:rPr>
        <w:t>á</w:t>
      </w:r>
      <w:r>
        <w:t xml:space="preserve">ndez, Valentina, Lara, J. Carlos:  The Inter-American Legal Analysis:  The 13 </w:t>
      </w:r>
      <w:r w:rsidRPr="00E6487F">
        <w:t>Principles and the Inter-American System for the Protection of Human Rights</w:t>
      </w:r>
    </w:p>
  </w:footnote>
  <w:footnote w:id="119">
    <w:p w14:paraId="09121000" w14:textId="61864826" w:rsidR="001023D7" w:rsidRDefault="001023D7">
      <w:pPr>
        <w:pStyle w:val="FootnoteText"/>
      </w:pPr>
      <w:r w:rsidRPr="00E6487F">
        <w:rPr>
          <w:rStyle w:val="FootnoteReference"/>
        </w:rPr>
        <w:footnoteRef/>
      </w:r>
      <w:r w:rsidRPr="00E6487F">
        <w:t xml:space="preserve"> </w:t>
      </w:r>
      <w:r w:rsidRPr="00E6487F">
        <w:rPr>
          <w:rStyle w:val="Strong"/>
          <w:rFonts w:cs="Times New Roman"/>
          <w:b w:val="0"/>
          <w:shd w:val="clear" w:color="auto" w:fill="FFFFFF"/>
        </w:rPr>
        <w:t>The Office of the Special Rapporteur Expresses Concern Over the Acquisition and Implementation of Surveillance Programs by States of the Hemisphere July 21, 2015, Press Release R80/15</w:t>
      </w:r>
    </w:p>
  </w:footnote>
  <w:footnote w:id="120">
    <w:p w14:paraId="3F07A09D" w14:textId="77777777" w:rsidR="001023D7" w:rsidRPr="000B34BD" w:rsidRDefault="001023D7" w:rsidP="00683E9A">
      <w:pPr>
        <w:pStyle w:val="FootnoteText"/>
        <w:rPr>
          <w:rFonts w:cs="Times New Roman"/>
        </w:rPr>
      </w:pPr>
      <w:r w:rsidRPr="000B34BD">
        <w:rPr>
          <w:rStyle w:val="FootnoteReference"/>
          <w:rFonts w:cs="Times New Roman"/>
        </w:rPr>
        <w:footnoteRef/>
      </w:r>
      <w:r w:rsidRPr="000B34BD">
        <w:rPr>
          <w:rFonts w:cs="Times New Roman"/>
        </w:rPr>
        <w:t xml:space="preserve"> CQ 13</w:t>
      </w:r>
    </w:p>
  </w:footnote>
  <w:footnote w:id="121">
    <w:p w14:paraId="22A98692" w14:textId="57D13023" w:rsidR="001023D7" w:rsidRDefault="001023D7" w:rsidP="00683E9A">
      <w:pPr>
        <w:pStyle w:val="FootnoteText"/>
      </w:pPr>
      <w:r>
        <w:rPr>
          <w:rStyle w:val="FootnoteReference"/>
        </w:rPr>
        <w:footnoteRef/>
      </w:r>
      <w:r>
        <w:t xml:space="preserve"> </w:t>
      </w:r>
      <w:r>
        <w:rPr>
          <w:rFonts w:cs="Times New Roman"/>
        </w:rPr>
        <w:t>Hypothetical Paragraph 22, 27</w:t>
      </w:r>
    </w:p>
  </w:footnote>
  <w:footnote w:id="122">
    <w:p w14:paraId="5C9C5937" w14:textId="77777777" w:rsidR="001023D7" w:rsidRDefault="001023D7" w:rsidP="00683E9A">
      <w:pPr>
        <w:pStyle w:val="FootnoteText"/>
      </w:pPr>
      <w:r>
        <w:rPr>
          <w:rStyle w:val="FootnoteReference"/>
        </w:rPr>
        <w:footnoteRef/>
      </w:r>
      <w:r>
        <w:t xml:space="preserve"> Wong, Kate.  Seeing Through Soil with Sound, October 3, 2000, the Scientific American</w:t>
      </w:r>
    </w:p>
  </w:footnote>
  <w:footnote w:id="123">
    <w:p w14:paraId="7754CE31" w14:textId="53D86EB0" w:rsidR="001023D7" w:rsidRDefault="001023D7">
      <w:pPr>
        <w:pStyle w:val="FootnoteText"/>
      </w:pPr>
      <w:r>
        <w:rPr>
          <w:rStyle w:val="FootnoteReference"/>
        </w:rPr>
        <w:footnoteRef/>
      </w:r>
      <w:r>
        <w:t xml:space="preserve"> CQ 13</w:t>
      </w:r>
    </w:p>
  </w:footnote>
  <w:footnote w:id="124">
    <w:p w14:paraId="787387F7" w14:textId="35D725F2" w:rsidR="001023D7" w:rsidRDefault="001023D7">
      <w:pPr>
        <w:pStyle w:val="FootnoteText"/>
      </w:pPr>
      <w:r>
        <w:rPr>
          <w:rStyle w:val="FootnoteReference"/>
        </w:rPr>
        <w:footnoteRef/>
      </w:r>
      <w:r>
        <w:t xml:space="preserve"> </w:t>
      </w:r>
      <w:r w:rsidR="00797046">
        <w:rPr>
          <w:i/>
        </w:rPr>
        <w:t>Case of Castillo Petruzzi et</w:t>
      </w:r>
      <w:r w:rsidRPr="00DF2714">
        <w:rPr>
          <w:i/>
        </w:rPr>
        <w:t xml:space="preserve"> al</w:t>
      </w:r>
      <w:r w:rsidR="00797046">
        <w:rPr>
          <w:i/>
        </w:rPr>
        <w:t>.</w:t>
      </w:r>
      <w:r w:rsidRPr="00DF2714">
        <w:rPr>
          <w:i/>
        </w:rPr>
        <w:t xml:space="preserve"> v. Peru</w:t>
      </w:r>
      <w:r>
        <w:t xml:space="preserve"> [1999] (I/A/ Court H.R.)</w:t>
      </w:r>
    </w:p>
  </w:footnote>
  <w:footnote w:id="125">
    <w:p w14:paraId="1158CB2B" w14:textId="14B10BB0" w:rsidR="001023D7" w:rsidRDefault="001023D7">
      <w:pPr>
        <w:pStyle w:val="FootnoteText"/>
      </w:pPr>
      <w:r>
        <w:rPr>
          <w:rStyle w:val="FootnoteReference"/>
        </w:rPr>
        <w:footnoteRef/>
      </w:r>
      <w:r>
        <w:t xml:space="preserve"> Rodriguez, Katitza, Hern</w:t>
      </w:r>
      <w:r>
        <w:rPr>
          <w:rFonts w:cs="Times New Roman"/>
        </w:rPr>
        <w:t>á</w:t>
      </w:r>
      <w:r>
        <w:t xml:space="preserve">ndez, Valentina, Lara, J. Carlos:  The Inter-American Legal Analysis:  The 13 </w:t>
      </w:r>
      <w:r w:rsidRPr="00E6487F">
        <w:t>Principles and the Inter-American System for</w:t>
      </w:r>
      <w:r w:rsidR="00730C14">
        <w:t xml:space="preserve"> the Protection of Human Rights</w:t>
      </w:r>
    </w:p>
  </w:footnote>
  <w:footnote w:id="126">
    <w:p w14:paraId="5D03A481" w14:textId="7D740559" w:rsidR="001023D7" w:rsidRDefault="001023D7">
      <w:pPr>
        <w:pStyle w:val="FootnoteText"/>
      </w:pPr>
      <w:r>
        <w:rPr>
          <w:rStyle w:val="FootnoteReference"/>
        </w:rPr>
        <w:footnoteRef/>
      </w:r>
      <w:r>
        <w:t xml:space="preserve"> Hypothetical Paragraph 20</w:t>
      </w:r>
    </w:p>
  </w:footnote>
  <w:footnote w:id="127">
    <w:p w14:paraId="75E8901D" w14:textId="0819F174" w:rsidR="001023D7" w:rsidRDefault="001023D7">
      <w:pPr>
        <w:pStyle w:val="FootnoteText"/>
      </w:pPr>
      <w:r>
        <w:rPr>
          <w:rStyle w:val="FootnoteReference"/>
        </w:rPr>
        <w:footnoteRef/>
      </w:r>
      <w:r>
        <w:t xml:space="preserve"> CQ 13, 15</w:t>
      </w:r>
    </w:p>
  </w:footnote>
  <w:footnote w:id="128">
    <w:p w14:paraId="2DE56AA3" w14:textId="77777777" w:rsidR="001023D7" w:rsidRPr="000B34BD" w:rsidRDefault="001023D7" w:rsidP="00763FB4">
      <w:pPr>
        <w:pStyle w:val="FootnoteText"/>
        <w:rPr>
          <w:rFonts w:cs="Times New Roman"/>
        </w:rPr>
      </w:pPr>
      <w:r w:rsidRPr="000B34BD">
        <w:rPr>
          <w:rStyle w:val="FootnoteReference"/>
          <w:rFonts w:cs="Times New Roman"/>
        </w:rPr>
        <w:footnoteRef/>
      </w:r>
      <w:r w:rsidRPr="000B34BD">
        <w:rPr>
          <w:rFonts w:cs="Times New Roman"/>
        </w:rPr>
        <w:t xml:space="preserve"> CQ 5</w:t>
      </w:r>
    </w:p>
  </w:footnote>
  <w:footnote w:id="129">
    <w:p w14:paraId="1E3408FD" w14:textId="5CAE36D7" w:rsidR="001023D7" w:rsidRDefault="001023D7">
      <w:pPr>
        <w:pStyle w:val="FootnoteText"/>
      </w:pPr>
      <w:r>
        <w:rPr>
          <w:rStyle w:val="FootnoteReference"/>
        </w:rPr>
        <w:footnoteRef/>
      </w:r>
      <w:r>
        <w:t xml:space="preserve"> European Convention on Human Rights 1953 Article 8; Universal Declaration of Human Rights 1948 Article 12</w:t>
      </w:r>
    </w:p>
  </w:footnote>
  <w:footnote w:id="130">
    <w:p w14:paraId="26B728C3" w14:textId="77777777" w:rsidR="001023D7" w:rsidRPr="00E4315A" w:rsidRDefault="001023D7" w:rsidP="004438F6">
      <w:pPr>
        <w:pStyle w:val="FootnoteText"/>
        <w:rPr>
          <w:rFonts w:cs="Times New Roman"/>
        </w:rPr>
      </w:pPr>
      <w:r w:rsidRPr="00E4315A">
        <w:rPr>
          <w:rStyle w:val="FootnoteReference"/>
          <w:rFonts w:cs="Times New Roman"/>
        </w:rPr>
        <w:footnoteRef/>
      </w:r>
      <w:r w:rsidRPr="00E4315A">
        <w:rPr>
          <w:rFonts w:cs="Times New Roman"/>
        </w:rPr>
        <w:t xml:space="preserve"> American Convention on Human Rights 1969 Article 13.5</w:t>
      </w:r>
    </w:p>
  </w:footnote>
  <w:footnote w:id="131">
    <w:p w14:paraId="1A505CB6" w14:textId="2EA9079F" w:rsidR="001023D7" w:rsidRDefault="001023D7">
      <w:pPr>
        <w:pStyle w:val="FootnoteText"/>
      </w:pPr>
      <w:r>
        <w:rPr>
          <w:rStyle w:val="FootnoteReference"/>
        </w:rPr>
        <w:footnoteRef/>
      </w:r>
      <w:r>
        <w:t xml:space="preserve"> </w:t>
      </w:r>
      <w:r w:rsidR="00CE76E2">
        <w:t>Ibid.</w:t>
      </w:r>
    </w:p>
  </w:footnote>
  <w:footnote w:id="132">
    <w:p w14:paraId="459DE82B" w14:textId="495D51DB" w:rsidR="001023D7" w:rsidRDefault="001023D7">
      <w:pPr>
        <w:pStyle w:val="FootnoteText"/>
      </w:pPr>
      <w:r>
        <w:rPr>
          <w:rStyle w:val="FootnoteReference"/>
        </w:rPr>
        <w:footnoteRef/>
      </w:r>
      <w:r>
        <w:t xml:space="preserve"> Hypothetical Paragraph 22</w:t>
      </w:r>
    </w:p>
  </w:footnote>
  <w:footnote w:id="133">
    <w:p w14:paraId="569FC819" w14:textId="198C85F8" w:rsidR="001023D7" w:rsidRDefault="001023D7">
      <w:pPr>
        <w:pStyle w:val="FootnoteText"/>
      </w:pPr>
      <w:r>
        <w:rPr>
          <w:rStyle w:val="FootnoteReference"/>
        </w:rPr>
        <w:footnoteRef/>
      </w:r>
      <w:r>
        <w:t xml:space="preserve"> </w:t>
      </w:r>
      <w:r w:rsidR="00CE76E2">
        <w:t>Ibid.</w:t>
      </w:r>
    </w:p>
  </w:footnote>
  <w:footnote w:id="134">
    <w:p w14:paraId="4E52178E" w14:textId="6EC882D3" w:rsidR="001023D7" w:rsidRDefault="001023D7">
      <w:pPr>
        <w:pStyle w:val="FootnoteText"/>
      </w:pPr>
      <w:r>
        <w:rPr>
          <w:rStyle w:val="FootnoteReference"/>
        </w:rPr>
        <w:footnoteRef/>
      </w:r>
      <w:r>
        <w:t xml:space="preserve"> Hypothetical Paragraph 31</w:t>
      </w:r>
    </w:p>
  </w:footnote>
  <w:footnote w:id="135">
    <w:p w14:paraId="683A3209" w14:textId="657EB49C" w:rsidR="001023D7" w:rsidRDefault="001023D7">
      <w:pPr>
        <w:pStyle w:val="FootnoteText"/>
      </w:pPr>
      <w:r>
        <w:rPr>
          <w:rStyle w:val="FootnoteReference"/>
        </w:rPr>
        <w:footnoteRef/>
      </w:r>
      <w:r>
        <w:t xml:space="preserve"> Hypothetical Paragraph 20</w:t>
      </w:r>
    </w:p>
  </w:footnote>
  <w:footnote w:id="136">
    <w:p w14:paraId="6DA056FE" w14:textId="52447A1D" w:rsidR="001023D7" w:rsidRDefault="001023D7">
      <w:pPr>
        <w:pStyle w:val="FootnoteText"/>
      </w:pPr>
      <w:r>
        <w:rPr>
          <w:rStyle w:val="FootnoteReference"/>
        </w:rPr>
        <w:footnoteRef/>
      </w:r>
      <w:r>
        <w:t xml:space="preserve"> Hypothetical Paragraph 26</w:t>
      </w:r>
    </w:p>
  </w:footnote>
  <w:footnote w:id="137">
    <w:p w14:paraId="19A21260" w14:textId="2F9A376A" w:rsidR="001023D7" w:rsidRDefault="001023D7" w:rsidP="00D97774">
      <w:pPr>
        <w:pStyle w:val="FootnoteText"/>
      </w:pPr>
      <w:r>
        <w:rPr>
          <w:rStyle w:val="FootnoteReference"/>
        </w:rPr>
        <w:footnoteRef/>
      </w:r>
      <w:r>
        <w:t xml:space="preserve"> </w:t>
      </w:r>
      <w:r w:rsidR="00C83BCA">
        <w:t>Ibid.</w:t>
      </w:r>
    </w:p>
  </w:footnote>
  <w:footnote w:id="138">
    <w:p w14:paraId="75BF2EF7" w14:textId="06A7D551" w:rsidR="00193540" w:rsidRDefault="00193540">
      <w:pPr>
        <w:pStyle w:val="FootnoteText"/>
      </w:pPr>
      <w:r>
        <w:rPr>
          <w:rStyle w:val="FootnoteReference"/>
        </w:rPr>
        <w:footnoteRef/>
      </w:r>
      <w:r>
        <w:t xml:space="preserve"> Article 11 Right to Privacy</w:t>
      </w:r>
    </w:p>
  </w:footnote>
  <w:footnote w:id="139">
    <w:p w14:paraId="4F60C181" w14:textId="77777777" w:rsidR="001023D7" w:rsidRDefault="001023D7" w:rsidP="00F87183">
      <w:pPr>
        <w:pStyle w:val="FootnoteText"/>
      </w:pPr>
      <w:r>
        <w:rPr>
          <w:rStyle w:val="FootnoteReference"/>
        </w:rPr>
        <w:footnoteRef/>
      </w:r>
      <w:r>
        <w:t xml:space="preserve"> CQ 13, 15</w:t>
      </w:r>
    </w:p>
  </w:footnote>
  <w:footnote w:id="140">
    <w:p w14:paraId="4DEC5944" w14:textId="77777777" w:rsidR="001023D7" w:rsidRPr="00F00430" w:rsidRDefault="001023D7" w:rsidP="00F87183">
      <w:pPr>
        <w:pStyle w:val="FootnoteText"/>
      </w:pPr>
      <w:r w:rsidRPr="00F00430">
        <w:rPr>
          <w:rStyle w:val="FootnoteReference"/>
        </w:rPr>
        <w:footnoteRef/>
      </w:r>
      <w:r w:rsidRPr="00F00430">
        <w:t xml:space="preserve"> </w:t>
      </w:r>
      <w:r w:rsidRPr="00F00430">
        <w:rPr>
          <w:rFonts w:cs="Times New Roman"/>
        </w:rPr>
        <w:t>January 25, 2018 – January 10, 2019</w:t>
      </w:r>
    </w:p>
  </w:footnote>
  <w:footnote w:id="141">
    <w:p w14:paraId="7F2952A7" w14:textId="0FBE4D76" w:rsidR="001023D7" w:rsidRDefault="001023D7" w:rsidP="00F87183">
      <w:pPr>
        <w:pStyle w:val="FootnoteText"/>
      </w:pPr>
      <w:r>
        <w:rPr>
          <w:rStyle w:val="FootnoteReference"/>
        </w:rPr>
        <w:footnoteRef/>
      </w:r>
      <w:r>
        <w:t xml:space="preserve"> </w:t>
      </w:r>
      <w:r>
        <w:rPr>
          <w:rFonts w:cs="Times New Roman"/>
        </w:rPr>
        <w:t>Hypothetical Paragraph 27, 29; CQ 5</w:t>
      </w:r>
    </w:p>
  </w:footnote>
  <w:footnote w:id="142">
    <w:p w14:paraId="6F54BF69" w14:textId="48736A5C" w:rsidR="001023D7" w:rsidRDefault="001023D7" w:rsidP="00F87183">
      <w:pPr>
        <w:pStyle w:val="FootnoteText"/>
      </w:pPr>
      <w:r>
        <w:rPr>
          <w:rStyle w:val="FootnoteReference"/>
        </w:rPr>
        <w:footnoteRef/>
      </w:r>
      <w:r>
        <w:t xml:space="preserve"> CQ 5</w:t>
      </w:r>
    </w:p>
  </w:footnote>
  <w:footnote w:id="143">
    <w:p w14:paraId="21400AF8" w14:textId="2B3BED89" w:rsidR="001023D7" w:rsidRDefault="001023D7" w:rsidP="00F87183">
      <w:pPr>
        <w:pStyle w:val="FootnoteText"/>
      </w:pPr>
      <w:r>
        <w:rPr>
          <w:rStyle w:val="FootnoteReference"/>
        </w:rPr>
        <w:footnoteRef/>
      </w:r>
      <w:r>
        <w:t xml:space="preserve"> </w:t>
      </w:r>
      <w:r w:rsidR="00C83BCA">
        <w:t>Ibid.</w:t>
      </w:r>
    </w:p>
  </w:footnote>
  <w:footnote w:id="144">
    <w:p w14:paraId="30F18E42" w14:textId="6E0100B8" w:rsidR="001023D7" w:rsidRDefault="001023D7" w:rsidP="00F87183">
      <w:pPr>
        <w:pStyle w:val="FootnoteText"/>
      </w:pPr>
      <w:r>
        <w:rPr>
          <w:rStyle w:val="FootnoteReference"/>
        </w:rPr>
        <w:footnoteRef/>
      </w:r>
      <w:r w:rsidR="00C83BCA">
        <w:t xml:space="preserve"> Basic Principles of IHL, </w:t>
      </w:r>
      <w:r>
        <w:t>The Global International Humanitarian Law Centre, n.d.</w:t>
      </w:r>
    </w:p>
  </w:footnote>
  <w:footnote w:id="145">
    <w:p w14:paraId="3DEB3C5D" w14:textId="77777777" w:rsidR="001023D7" w:rsidRDefault="001023D7" w:rsidP="00F87183">
      <w:pPr>
        <w:pStyle w:val="FootnoteText"/>
      </w:pPr>
      <w:r>
        <w:rPr>
          <w:rStyle w:val="FootnoteReference"/>
        </w:rPr>
        <w:footnoteRef/>
      </w:r>
      <w:r>
        <w:t xml:space="preserve"> Geneva Convention, Additional Protocol I 1977 Article 57(2)(a)(i)</w:t>
      </w:r>
    </w:p>
  </w:footnote>
  <w:footnote w:id="146">
    <w:p w14:paraId="1D3D4616" w14:textId="6041BDE5" w:rsidR="001023D7" w:rsidRDefault="001023D7" w:rsidP="00E42361">
      <w:pPr>
        <w:pStyle w:val="FootnoteText"/>
      </w:pPr>
      <w:r>
        <w:rPr>
          <w:rStyle w:val="FootnoteReference"/>
        </w:rPr>
        <w:footnoteRef/>
      </w:r>
      <w:r>
        <w:t xml:space="preserve"> </w:t>
      </w:r>
      <w:r w:rsidR="00B2147C">
        <w:t>Ibid.</w:t>
      </w:r>
    </w:p>
  </w:footnote>
  <w:footnote w:id="147">
    <w:p w14:paraId="79F0028D" w14:textId="77777777" w:rsidR="001023D7" w:rsidRDefault="001023D7" w:rsidP="00B3543C">
      <w:pPr>
        <w:pStyle w:val="FootnoteText"/>
      </w:pPr>
      <w:r w:rsidRPr="00E4315A">
        <w:rPr>
          <w:rStyle w:val="FootnoteReference"/>
          <w:rFonts w:cs="Times New Roman"/>
        </w:rPr>
        <w:footnoteRef/>
      </w:r>
      <w:r w:rsidRPr="00E4315A">
        <w:rPr>
          <w:rFonts w:cs="Times New Roman"/>
        </w:rPr>
        <w:t xml:space="preserve"> Rowe, Peter, Journal of the Royal Society of Medicine, January, Volume 195, ‘Freedom Fighters and Rebels:  The Rules of Civil War,’ [2002]</w:t>
      </w:r>
    </w:p>
  </w:footnote>
  <w:footnote w:id="148">
    <w:p w14:paraId="34FC494C" w14:textId="1A475040" w:rsidR="00397BFE" w:rsidRDefault="00397BFE">
      <w:pPr>
        <w:pStyle w:val="FootnoteText"/>
      </w:pPr>
      <w:r>
        <w:rPr>
          <w:rStyle w:val="FootnoteReference"/>
        </w:rPr>
        <w:footnoteRef/>
      </w:r>
      <w:r>
        <w:t xml:space="preserve"> American Convention on Human Rights 1969 Article 13.5</w:t>
      </w:r>
    </w:p>
  </w:footnote>
  <w:footnote w:id="149">
    <w:p w14:paraId="2760B6CB" w14:textId="7AED4F67" w:rsidR="001023D7" w:rsidRPr="003D628C" w:rsidRDefault="001023D7">
      <w:pPr>
        <w:pStyle w:val="FootnoteText"/>
        <w:rPr>
          <w:rFonts w:cs="Times New Roman"/>
        </w:rPr>
      </w:pPr>
      <w:r w:rsidRPr="003D628C">
        <w:rPr>
          <w:rStyle w:val="FootnoteReference"/>
          <w:rFonts w:cs="Times New Roman"/>
        </w:rPr>
        <w:footnoteRef/>
      </w:r>
      <w:r w:rsidRPr="003D628C">
        <w:rPr>
          <w:rFonts w:cs="Times New Roman"/>
        </w:rPr>
        <w:t xml:space="preserve"> American Convention on Human Rights 1969 Article 16</w:t>
      </w:r>
      <w:r w:rsidR="00DF2B10">
        <w:rPr>
          <w:rFonts w:cs="Times New Roman"/>
        </w:rPr>
        <w:t>.1</w:t>
      </w:r>
    </w:p>
  </w:footnote>
  <w:footnote w:id="150">
    <w:p w14:paraId="32376C1B" w14:textId="52AC6070" w:rsidR="001023D7" w:rsidRPr="003D628C" w:rsidRDefault="001023D7">
      <w:pPr>
        <w:pStyle w:val="FootnoteText"/>
        <w:rPr>
          <w:color w:val="95B3D7" w:themeColor="accent1" w:themeTint="99"/>
        </w:rPr>
      </w:pPr>
      <w:r w:rsidRPr="003D628C">
        <w:rPr>
          <w:rStyle w:val="FootnoteReference"/>
        </w:rPr>
        <w:footnoteRef/>
      </w:r>
      <w:r w:rsidRPr="003D628C">
        <w:t xml:space="preserve"> </w:t>
      </w:r>
      <w:r w:rsidRPr="003D628C">
        <w:rPr>
          <w:rFonts w:cs="Times New Roman"/>
        </w:rPr>
        <w:t>Charechia’s infringement on Petitioners’ freedom of association has been addressed, in part</w:t>
      </w:r>
      <w:r>
        <w:rPr>
          <w:rFonts w:cs="Times New Roman"/>
        </w:rPr>
        <w:t xml:space="preserve">, </w:t>
      </w:r>
      <w:r w:rsidR="003108B4">
        <w:rPr>
          <w:rFonts w:cs="Times New Roman"/>
        </w:rPr>
        <w:t>under Article 5.  See Section 3.3.</w:t>
      </w:r>
    </w:p>
  </w:footnote>
  <w:footnote w:id="151">
    <w:p w14:paraId="1D533D7E" w14:textId="7B205DCB" w:rsidR="001023D7" w:rsidRPr="00DC44DF" w:rsidRDefault="001023D7">
      <w:pPr>
        <w:pStyle w:val="FootnoteText"/>
        <w:rPr>
          <w:rFonts w:cs="Times New Roman"/>
        </w:rPr>
      </w:pPr>
      <w:r w:rsidRPr="00DC44DF">
        <w:rPr>
          <w:rStyle w:val="FootnoteReference"/>
          <w:rFonts w:cs="Times New Roman"/>
        </w:rPr>
        <w:footnoteRef/>
      </w:r>
      <w:r w:rsidRPr="00DC44DF">
        <w:rPr>
          <w:rFonts w:cs="Times New Roman"/>
        </w:rPr>
        <w:t xml:space="preserve"> Hypothetical </w:t>
      </w:r>
      <w:r w:rsidR="00613DF7">
        <w:t>Paragraph</w:t>
      </w:r>
      <w:r w:rsidR="00613DF7" w:rsidRPr="00DC44DF">
        <w:rPr>
          <w:rFonts w:cs="Times New Roman"/>
        </w:rPr>
        <w:t xml:space="preserve"> </w:t>
      </w:r>
      <w:r w:rsidRPr="00DC44DF">
        <w:rPr>
          <w:rFonts w:cs="Times New Roman"/>
        </w:rPr>
        <w:t>23; Clarification Questions 3, 5, 8, 15</w:t>
      </w:r>
    </w:p>
  </w:footnote>
  <w:footnote w:id="152">
    <w:p w14:paraId="269620B6" w14:textId="2528BF05" w:rsidR="001023D7" w:rsidRDefault="001023D7">
      <w:pPr>
        <w:pStyle w:val="FootnoteText"/>
      </w:pPr>
      <w:r>
        <w:rPr>
          <w:rStyle w:val="FootnoteReference"/>
        </w:rPr>
        <w:footnoteRef/>
      </w:r>
      <w:r>
        <w:t xml:space="preserve"> American Convention on Human Rights 1969 Article 16.2</w:t>
      </w:r>
    </w:p>
  </w:footnote>
  <w:footnote w:id="153">
    <w:p w14:paraId="0990757E" w14:textId="5D6ABC99" w:rsidR="001023D7" w:rsidRDefault="001023D7">
      <w:pPr>
        <w:pStyle w:val="FootnoteText"/>
      </w:pPr>
      <w:r>
        <w:rPr>
          <w:rStyle w:val="FootnoteReference"/>
        </w:rPr>
        <w:footnoteRef/>
      </w:r>
      <w:r>
        <w:t xml:space="preserve"> Hypothetical Paragraph 23</w:t>
      </w:r>
    </w:p>
  </w:footnote>
  <w:footnote w:id="154">
    <w:p w14:paraId="2F55BDC3" w14:textId="0EC429E9" w:rsidR="001023D7" w:rsidRDefault="001023D7">
      <w:pPr>
        <w:pStyle w:val="FootnoteText"/>
      </w:pPr>
      <w:r>
        <w:rPr>
          <w:rStyle w:val="FootnoteReference"/>
        </w:rPr>
        <w:footnoteRef/>
      </w:r>
      <w:r>
        <w:t xml:space="preserve"> CQ 8</w:t>
      </w:r>
    </w:p>
  </w:footnote>
  <w:footnote w:id="155">
    <w:p w14:paraId="3AFAFEB0" w14:textId="2B97E642" w:rsidR="001023D7" w:rsidRDefault="001023D7">
      <w:pPr>
        <w:pStyle w:val="FootnoteText"/>
      </w:pPr>
      <w:r>
        <w:rPr>
          <w:rStyle w:val="FootnoteReference"/>
        </w:rPr>
        <w:footnoteRef/>
      </w:r>
      <w:r>
        <w:t xml:space="preserve"> CQ 3</w:t>
      </w:r>
    </w:p>
  </w:footnote>
  <w:footnote w:id="156">
    <w:p w14:paraId="7FB2F2B2" w14:textId="0D9CC929" w:rsidR="001023D7" w:rsidRDefault="001023D7">
      <w:pPr>
        <w:pStyle w:val="FootnoteText"/>
      </w:pPr>
      <w:r>
        <w:rPr>
          <w:rStyle w:val="FootnoteReference"/>
        </w:rPr>
        <w:footnoteRef/>
      </w:r>
      <w:r>
        <w:t xml:space="preserve"> </w:t>
      </w:r>
      <w:r w:rsidR="00142D85">
        <w:t>Hypothetical Paragraph 23</w:t>
      </w:r>
    </w:p>
  </w:footnote>
  <w:footnote w:id="157">
    <w:p w14:paraId="0C7868AA" w14:textId="0E49BEBE" w:rsidR="001023D7" w:rsidRDefault="001023D7">
      <w:pPr>
        <w:pStyle w:val="FootnoteText"/>
      </w:pPr>
      <w:r>
        <w:rPr>
          <w:rStyle w:val="FootnoteReference"/>
        </w:rPr>
        <w:footnoteRef/>
      </w:r>
      <w:r>
        <w:t xml:space="preserve"> </w:t>
      </w:r>
      <w:r w:rsidRPr="00E67B76">
        <w:rPr>
          <w:i/>
        </w:rPr>
        <w:t>Case of B</w:t>
      </w:r>
      <w:r w:rsidR="00A617F3">
        <w:rPr>
          <w:rFonts w:cs="Times New Roman"/>
          <w:i/>
        </w:rPr>
        <w:t>á</w:t>
      </w:r>
      <w:r w:rsidRPr="00E67B76">
        <w:rPr>
          <w:i/>
        </w:rPr>
        <w:t>maca-Vel</w:t>
      </w:r>
      <w:r w:rsidR="00A617F3">
        <w:rPr>
          <w:rFonts w:cs="Times New Roman"/>
          <w:i/>
        </w:rPr>
        <w:t>á</w:t>
      </w:r>
      <w:r w:rsidRPr="00E67B76">
        <w:rPr>
          <w:i/>
        </w:rPr>
        <w:t>squez v. Guatemala</w:t>
      </w:r>
      <w:r>
        <w:t xml:space="preserve"> [I/A Court H.R.] 2000, Series C. NO. 91, Reparations and Costs</w:t>
      </w:r>
    </w:p>
  </w:footnote>
  <w:footnote w:id="158">
    <w:p w14:paraId="3DC98A7E" w14:textId="648107A1" w:rsidR="001023D7" w:rsidRDefault="001023D7">
      <w:pPr>
        <w:pStyle w:val="FootnoteText"/>
      </w:pPr>
      <w:r>
        <w:rPr>
          <w:rStyle w:val="FootnoteReference"/>
        </w:rPr>
        <w:footnoteRef/>
      </w:r>
      <w:r>
        <w:t xml:space="preserve"> </w:t>
      </w:r>
      <w:r w:rsidRPr="00806401">
        <w:rPr>
          <w:rFonts w:cs="Times New Roman"/>
        </w:rPr>
        <w:t>Hypothetical Case Para.</w:t>
      </w:r>
      <w:r>
        <w:rPr>
          <w:rFonts w:cs="Times New Roman"/>
        </w:rPr>
        <w:t xml:space="preserve"> 24</w:t>
      </w:r>
    </w:p>
  </w:footnote>
  <w:footnote w:id="159">
    <w:p w14:paraId="57F7D542" w14:textId="4ABBA898" w:rsidR="001023D7" w:rsidRDefault="001023D7">
      <w:pPr>
        <w:pStyle w:val="FootnoteText"/>
      </w:pPr>
      <w:r>
        <w:rPr>
          <w:rStyle w:val="FootnoteReference"/>
        </w:rPr>
        <w:footnoteRef/>
      </w:r>
      <w:r>
        <w:t xml:space="preserve"> Hypothetical Paragraph 21</w:t>
      </w:r>
    </w:p>
  </w:footnote>
  <w:footnote w:id="160">
    <w:p w14:paraId="546BE58A" w14:textId="629DDAC4" w:rsidR="001023D7" w:rsidRDefault="001023D7">
      <w:pPr>
        <w:pStyle w:val="FootnoteText"/>
      </w:pPr>
      <w:r>
        <w:rPr>
          <w:rStyle w:val="FootnoteReference"/>
        </w:rPr>
        <w:footnoteRef/>
      </w:r>
      <w:r>
        <w:t xml:space="preserve"> </w:t>
      </w:r>
      <w:r w:rsidRPr="00806401">
        <w:rPr>
          <w:rFonts w:cs="Times New Roman"/>
        </w:rPr>
        <w:t>Hypothetical Case Para.</w:t>
      </w:r>
      <w:r>
        <w:rPr>
          <w:rFonts w:cs="Times New Roman"/>
        </w:rPr>
        <w:t xml:space="preserve"> 24</w:t>
      </w:r>
    </w:p>
  </w:footnote>
  <w:footnote w:id="161">
    <w:p w14:paraId="35777E18" w14:textId="352A0E08" w:rsidR="001023D7" w:rsidRDefault="001023D7">
      <w:pPr>
        <w:pStyle w:val="FootnoteText"/>
      </w:pPr>
      <w:r>
        <w:rPr>
          <w:rStyle w:val="FootnoteReference"/>
        </w:rPr>
        <w:footnoteRef/>
      </w:r>
      <w:r>
        <w:t xml:space="preserve"> </w:t>
      </w:r>
      <w:r w:rsidRPr="00806401">
        <w:rPr>
          <w:rFonts w:cs="Times New Roman"/>
        </w:rPr>
        <w:t>Hypothetical Case Para.</w:t>
      </w:r>
      <w:r>
        <w:rPr>
          <w:rFonts w:cs="Times New Roman"/>
        </w:rPr>
        <w:t xml:space="preserve"> 23; Clarification Questions 3, 5, 8</w:t>
      </w:r>
    </w:p>
  </w:footnote>
  <w:footnote w:id="162">
    <w:p w14:paraId="333AE1E7" w14:textId="144BBBDB" w:rsidR="001023D7" w:rsidRDefault="001023D7">
      <w:pPr>
        <w:pStyle w:val="FootnoteText"/>
      </w:pPr>
      <w:r>
        <w:rPr>
          <w:rStyle w:val="FootnoteReference"/>
        </w:rPr>
        <w:footnoteRef/>
      </w:r>
      <w:r>
        <w:t xml:space="preserve"> </w:t>
      </w:r>
      <w:r w:rsidRPr="00753321">
        <w:rPr>
          <w:i/>
        </w:rPr>
        <w:t xml:space="preserve">Case of </w:t>
      </w:r>
      <w:r w:rsidRPr="00753321">
        <w:rPr>
          <w:rFonts w:cs="Times New Roman"/>
          <w:i/>
        </w:rPr>
        <w:t>Kichwa Indigenous People of Sarayaku v. Ecuador</w:t>
      </w:r>
      <w:r>
        <w:rPr>
          <w:rFonts w:cs="Times New Roman"/>
        </w:rPr>
        <w:t xml:space="preserve"> [I/A Ct. H.R.] 2012</w:t>
      </w:r>
    </w:p>
  </w:footnote>
  <w:footnote w:id="163">
    <w:p w14:paraId="1BBCC371" w14:textId="74E61B86" w:rsidR="001023D7" w:rsidRDefault="001023D7">
      <w:pPr>
        <w:pStyle w:val="FootnoteText"/>
      </w:pPr>
      <w:r>
        <w:rPr>
          <w:rStyle w:val="FootnoteReference"/>
        </w:rPr>
        <w:footnoteRef/>
      </w:r>
      <w:r>
        <w:t xml:space="preserve"> Article 8</w:t>
      </w:r>
      <w:r w:rsidR="0042358A">
        <w:t xml:space="preserve"> Right to Residence and Movement</w:t>
      </w:r>
    </w:p>
  </w:footnote>
  <w:footnote w:id="164">
    <w:p w14:paraId="7BA4425D" w14:textId="5D280C66" w:rsidR="001023D7" w:rsidRDefault="001023D7">
      <w:pPr>
        <w:pStyle w:val="FootnoteText"/>
      </w:pPr>
      <w:r>
        <w:rPr>
          <w:rStyle w:val="FootnoteReference"/>
        </w:rPr>
        <w:footnoteRef/>
      </w:r>
      <w:r>
        <w:t xml:space="preserve"> Geneva Convention, Additional Protocol I 1977 Article 57(2)(a)(i)</w:t>
      </w:r>
    </w:p>
  </w:footnote>
  <w:footnote w:id="165">
    <w:p w14:paraId="31C9E701" w14:textId="4BEEB2C4" w:rsidR="001023D7" w:rsidRDefault="001023D7">
      <w:pPr>
        <w:pStyle w:val="FootnoteText"/>
      </w:pPr>
      <w:r>
        <w:rPr>
          <w:rStyle w:val="FootnoteReference"/>
        </w:rPr>
        <w:footnoteRef/>
      </w:r>
      <w:r>
        <w:t xml:space="preserve"> CQ 6</w:t>
      </w:r>
    </w:p>
  </w:footnote>
  <w:footnote w:id="166">
    <w:p w14:paraId="2677AA66" w14:textId="7D23A17C" w:rsidR="001023D7" w:rsidRDefault="001023D7">
      <w:pPr>
        <w:pStyle w:val="FootnoteText"/>
      </w:pPr>
      <w:r>
        <w:rPr>
          <w:rStyle w:val="FootnoteReference"/>
        </w:rPr>
        <w:footnoteRef/>
      </w:r>
      <w:r>
        <w:t xml:space="preserve"> Hypothetical Paragraphs 3, 6, 7</w:t>
      </w:r>
    </w:p>
  </w:footnote>
  <w:footnote w:id="167">
    <w:p w14:paraId="29FCCB8F" w14:textId="0CA79C69" w:rsidR="001023D7" w:rsidRDefault="001023D7">
      <w:pPr>
        <w:pStyle w:val="FootnoteText"/>
      </w:pPr>
      <w:r>
        <w:rPr>
          <w:rStyle w:val="FootnoteReference"/>
        </w:rPr>
        <w:footnoteRef/>
      </w:r>
      <w:r>
        <w:t xml:space="preserve"> Hypothetical Paragraph 6</w:t>
      </w:r>
    </w:p>
  </w:footnote>
  <w:footnote w:id="168">
    <w:p w14:paraId="0F7F1AF2" w14:textId="5DBAA49A" w:rsidR="001023D7" w:rsidRDefault="001023D7">
      <w:pPr>
        <w:pStyle w:val="FootnoteText"/>
      </w:pPr>
      <w:r>
        <w:rPr>
          <w:rStyle w:val="FootnoteReference"/>
        </w:rPr>
        <w:footnoteRef/>
      </w:r>
      <w:r>
        <w:t xml:space="preserve"> Hypothetical Paragraph 4</w:t>
      </w:r>
      <w:r w:rsidR="00286A5B">
        <w:t>, See economic superiority of Charechia Maior.</w:t>
      </w:r>
    </w:p>
  </w:footnote>
  <w:footnote w:id="169">
    <w:p w14:paraId="5839BC10" w14:textId="389CB455" w:rsidR="001023D7" w:rsidRDefault="001023D7">
      <w:pPr>
        <w:pStyle w:val="FootnoteText"/>
      </w:pPr>
      <w:r>
        <w:rPr>
          <w:rStyle w:val="FootnoteReference"/>
        </w:rPr>
        <w:footnoteRef/>
      </w:r>
      <w:r>
        <w:t xml:space="preserve"> CQ 13</w:t>
      </w:r>
    </w:p>
  </w:footnote>
  <w:footnote w:id="170">
    <w:p w14:paraId="2D1A5842" w14:textId="2BDA326C" w:rsidR="001023D7" w:rsidRDefault="001023D7">
      <w:pPr>
        <w:pStyle w:val="FootnoteText"/>
      </w:pPr>
      <w:r>
        <w:rPr>
          <w:rStyle w:val="FootnoteReference"/>
        </w:rPr>
        <w:footnoteRef/>
      </w:r>
      <w:r>
        <w:t xml:space="preserve"> Hypothetical Paragraph 26</w:t>
      </w:r>
    </w:p>
  </w:footnote>
  <w:footnote w:id="171">
    <w:p w14:paraId="24ED4105" w14:textId="77777777" w:rsidR="001023D7" w:rsidRDefault="001023D7" w:rsidP="009A7A6C">
      <w:pPr>
        <w:pStyle w:val="FootnoteText"/>
      </w:pPr>
      <w:r>
        <w:rPr>
          <w:rStyle w:val="FootnoteReference"/>
        </w:rPr>
        <w:footnoteRef/>
      </w:r>
      <w:r>
        <w:t xml:space="preserve"> Hypothetical Paragraph 31</w:t>
      </w:r>
    </w:p>
  </w:footnote>
  <w:footnote w:id="172">
    <w:p w14:paraId="6BBC2660" w14:textId="0CF8903C" w:rsidR="001023D7" w:rsidRDefault="001023D7">
      <w:pPr>
        <w:pStyle w:val="FootnoteText"/>
      </w:pPr>
      <w:r>
        <w:rPr>
          <w:rStyle w:val="FootnoteReference"/>
        </w:rPr>
        <w:footnoteRef/>
      </w:r>
      <w:r>
        <w:t xml:space="preserve"> Inter-American Democratic Charter 2001</w:t>
      </w:r>
    </w:p>
  </w:footnote>
  <w:footnote w:id="173">
    <w:p w14:paraId="5A570D7A" w14:textId="66EE2F20" w:rsidR="001023D7" w:rsidRDefault="001023D7">
      <w:pPr>
        <w:pStyle w:val="FootnoteText"/>
      </w:pPr>
      <w:r>
        <w:rPr>
          <w:rStyle w:val="FootnoteReference"/>
        </w:rPr>
        <w:footnoteRef/>
      </w:r>
      <w:r>
        <w:t xml:space="preserve"> Hypothetical Paragraph 15</w:t>
      </w:r>
    </w:p>
  </w:footnote>
  <w:footnote w:id="174">
    <w:p w14:paraId="09F3BD06" w14:textId="3D383E05" w:rsidR="00157B5A" w:rsidRDefault="00157B5A">
      <w:pPr>
        <w:pStyle w:val="FootnoteText"/>
      </w:pPr>
      <w:r>
        <w:rPr>
          <w:rStyle w:val="FootnoteReference"/>
        </w:rPr>
        <w:footnoteRef/>
      </w:r>
      <w:r>
        <w:t xml:space="preserve"> Hypothetical Paragraph 14</w:t>
      </w:r>
    </w:p>
  </w:footnote>
  <w:footnote w:id="175">
    <w:p w14:paraId="58DB9361" w14:textId="79DC13D4" w:rsidR="001023D7" w:rsidRDefault="001023D7">
      <w:pPr>
        <w:pStyle w:val="FootnoteText"/>
      </w:pPr>
      <w:r>
        <w:rPr>
          <w:rStyle w:val="FootnoteReference"/>
        </w:rPr>
        <w:footnoteRef/>
      </w:r>
      <w:r>
        <w:t xml:space="preserve"> </w:t>
      </w:r>
      <w:r w:rsidR="00157B5A">
        <w:t>Ibid.</w:t>
      </w:r>
    </w:p>
  </w:footnote>
  <w:footnote w:id="176">
    <w:p w14:paraId="56D8CE55" w14:textId="4AC57534" w:rsidR="001023D7" w:rsidRDefault="001023D7">
      <w:pPr>
        <w:pStyle w:val="FootnoteText"/>
      </w:pPr>
      <w:r>
        <w:rPr>
          <w:rStyle w:val="FootnoteReference"/>
        </w:rPr>
        <w:footnoteRef/>
      </w:r>
      <w:r>
        <w:t xml:space="preserve"> Hypothetical Paragraph 9</w:t>
      </w:r>
    </w:p>
  </w:footnote>
  <w:footnote w:id="177">
    <w:p w14:paraId="214EB2C7" w14:textId="474BE12E" w:rsidR="001023D7" w:rsidRDefault="001023D7">
      <w:pPr>
        <w:pStyle w:val="FootnoteText"/>
      </w:pPr>
      <w:r>
        <w:rPr>
          <w:rStyle w:val="FootnoteReference"/>
        </w:rPr>
        <w:footnoteRef/>
      </w:r>
      <w:r>
        <w:t xml:space="preserve"> Hypothetical Paragraph 12</w:t>
      </w:r>
    </w:p>
  </w:footnote>
  <w:footnote w:id="178">
    <w:p w14:paraId="4EB3EC1F" w14:textId="609D05CC" w:rsidR="001023D7" w:rsidRDefault="001023D7">
      <w:pPr>
        <w:pStyle w:val="FootnoteText"/>
      </w:pPr>
      <w:r>
        <w:rPr>
          <w:rStyle w:val="FootnoteReference"/>
        </w:rPr>
        <w:footnoteRef/>
      </w:r>
      <w:r>
        <w:t xml:space="preserve"> Ibid.</w:t>
      </w:r>
    </w:p>
  </w:footnote>
  <w:footnote w:id="179">
    <w:p w14:paraId="17921807" w14:textId="6FDE8FFE" w:rsidR="001023D7" w:rsidRDefault="001023D7">
      <w:pPr>
        <w:pStyle w:val="FootnoteText"/>
      </w:pPr>
      <w:r>
        <w:rPr>
          <w:rStyle w:val="FootnoteReference"/>
        </w:rPr>
        <w:footnoteRef/>
      </w:r>
      <w:r>
        <w:t xml:space="preserve"> Hypothetical Paragraph 25</w:t>
      </w:r>
    </w:p>
  </w:footnote>
  <w:footnote w:id="180">
    <w:p w14:paraId="48611F6A" w14:textId="3CAC64FA" w:rsidR="001023D7" w:rsidRDefault="001023D7">
      <w:pPr>
        <w:pStyle w:val="FootnoteText"/>
      </w:pPr>
      <w:r>
        <w:rPr>
          <w:rStyle w:val="FootnoteReference"/>
        </w:rPr>
        <w:footnoteRef/>
      </w:r>
      <w:r>
        <w:t xml:space="preserve"> Hypothetical Paragraphs 8, 9, 13-16</w:t>
      </w:r>
    </w:p>
  </w:footnote>
  <w:footnote w:id="181">
    <w:p w14:paraId="6242E37D" w14:textId="536D2573" w:rsidR="00220755" w:rsidRDefault="00220755">
      <w:pPr>
        <w:pStyle w:val="FootnoteText"/>
      </w:pPr>
      <w:r>
        <w:rPr>
          <w:rStyle w:val="FootnoteReference"/>
        </w:rPr>
        <w:footnoteRef/>
      </w:r>
      <w:r>
        <w:t xml:space="preserve"> Hypothetical Paragraph 27 See </w:t>
      </w:r>
      <w:r w:rsidR="00A24EDF">
        <w:t xml:space="preserve">similar </w:t>
      </w:r>
      <w:r>
        <w:t xml:space="preserve">massacre at </w:t>
      </w:r>
      <w:r w:rsidR="00A24EDF">
        <w:t xml:space="preserve">Western Charechian village of </w:t>
      </w:r>
      <w:r>
        <w:t>Guaido.</w:t>
      </w:r>
    </w:p>
  </w:footnote>
  <w:footnote w:id="182">
    <w:p w14:paraId="640F6F28" w14:textId="77777777" w:rsidR="001023D7" w:rsidRDefault="001023D7" w:rsidP="00766927">
      <w:pPr>
        <w:pStyle w:val="FootnoteText"/>
      </w:pPr>
      <w:r>
        <w:rPr>
          <w:rStyle w:val="FootnoteReference"/>
        </w:rPr>
        <w:footnoteRef/>
      </w:r>
      <w:r>
        <w:t xml:space="preserve"> </w:t>
      </w:r>
      <w:r w:rsidRPr="006D6BD4">
        <w:rPr>
          <w:i/>
        </w:rPr>
        <w:t>Case of</w:t>
      </w:r>
      <w:r>
        <w:t xml:space="preserve"> </w:t>
      </w:r>
      <w:r>
        <w:rPr>
          <w:i/>
          <w:color w:val="000000" w:themeColor="text1"/>
        </w:rPr>
        <w:t xml:space="preserve">Afro-Descendant Communities Displaced from the Cacarica River Basin (Operation Genesis) v. Colombia </w:t>
      </w:r>
      <w:r w:rsidRPr="00647062">
        <w:rPr>
          <w:color w:val="000000" w:themeColor="text1"/>
        </w:rPr>
        <w:t>[2013]</w:t>
      </w:r>
      <w:r>
        <w:rPr>
          <w:color w:val="000000" w:themeColor="text1"/>
        </w:rPr>
        <w:t xml:space="preserve"> Series C No. 270 </w:t>
      </w:r>
      <w:r>
        <w:t>(I/A Court H.R)</w:t>
      </w:r>
    </w:p>
  </w:footnote>
  <w:footnote w:id="183">
    <w:p w14:paraId="070E48E7" w14:textId="0073E35E" w:rsidR="001023D7" w:rsidRDefault="001023D7">
      <w:pPr>
        <w:pStyle w:val="FootnoteText"/>
      </w:pPr>
      <w:r>
        <w:rPr>
          <w:rStyle w:val="FootnoteReference"/>
        </w:rPr>
        <w:footnoteRef/>
      </w:r>
      <w:r>
        <w:t xml:space="preserve"> Hypothetical Paragraph 21</w:t>
      </w:r>
    </w:p>
  </w:footnote>
  <w:footnote w:id="184">
    <w:p w14:paraId="058A30DD" w14:textId="1D0EF6D7" w:rsidR="001023D7" w:rsidRDefault="001023D7" w:rsidP="00766927">
      <w:pPr>
        <w:pStyle w:val="FootnoteText"/>
      </w:pPr>
      <w:r>
        <w:rPr>
          <w:rStyle w:val="FootnoteReference"/>
        </w:rPr>
        <w:footnoteRef/>
      </w:r>
      <w:r>
        <w:t xml:space="preserve"> </w:t>
      </w:r>
      <w:r w:rsidRPr="00C2718A">
        <w:rPr>
          <w:i/>
        </w:rPr>
        <w:t xml:space="preserve">Case of Aloeboetoe et al. v. Suriname </w:t>
      </w:r>
      <w:r>
        <w:t xml:space="preserve">[1993] series C No. 15—Reparations and Costs, cl. 88-89, </w:t>
      </w:r>
      <w:r w:rsidRPr="003F1ED3">
        <w:rPr>
          <w:i/>
        </w:rPr>
        <w:t>lucrum cessans</w:t>
      </w:r>
    </w:p>
  </w:footnote>
  <w:footnote w:id="185">
    <w:p w14:paraId="088B2E12" w14:textId="66F95AB2" w:rsidR="001023D7" w:rsidRDefault="001023D7" w:rsidP="00766927">
      <w:pPr>
        <w:pStyle w:val="FootnoteText"/>
      </w:pPr>
      <w:r>
        <w:rPr>
          <w:rStyle w:val="FootnoteReference"/>
        </w:rPr>
        <w:footnoteRef/>
      </w:r>
      <w:r>
        <w:t xml:space="preserve"> Hypothetical Paragraph 31</w:t>
      </w:r>
    </w:p>
  </w:footnote>
  <w:footnote w:id="186">
    <w:p w14:paraId="0F4C3FE7" w14:textId="1C735488" w:rsidR="001023D7" w:rsidRDefault="001023D7">
      <w:pPr>
        <w:pStyle w:val="FootnoteText"/>
      </w:pPr>
      <w:r>
        <w:rPr>
          <w:rStyle w:val="FootnoteReference"/>
        </w:rPr>
        <w:footnoteRef/>
      </w:r>
      <w:r>
        <w:t xml:space="preserve"> Inter-American Commission Executive Summary, “Access to Justice as a Guarantee of Economic</w:t>
      </w:r>
      <w:r w:rsidR="00366B55">
        <w:t xml:space="preserve">, Social, and Cultural Rights. </w:t>
      </w:r>
      <w:r>
        <w:t>A Review of the Standards Adopted by the Inter-American System of Human Rights”</w:t>
      </w:r>
    </w:p>
  </w:footnote>
  <w:footnote w:id="187">
    <w:p w14:paraId="1BD669AF" w14:textId="08E573CA" w:rsidR="00011E8F" w:rsidRDefault="00011E8F">
      <w:pPr>
        <w:pStyle w:val="FootnoteText"/>
      </w:pPr>
      <w:r>
        <w:rPr>
          <w:rStyle w:val="FootnoteReference"/>
        </w:rPr>
        <w:footnoteRef/>
      </w:r>
      <w:r>
        <w:t xml:space="preserve"> Hypothetical Paragraphs 4, 10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C0084" w14:textId="4C969BAF" w:rsidR="001023D7" w:rsidRPr="00B111C4" w:rsidRDefault="001023D7" w:rsidP="00B111C4">
    <w:pPr>
      <w:pStyle w:val="Header"/>
      <w:jc w:val="right"/>
      <w:rPr>
        <w:rFonts w:ascii="Times New Roman" w:hAnsi="Times New Roman" w:cs="Times New Roman"/>
        <w:sz w:val="24"/>
        <w:szCs w:val="24"/>
      </w:rPr>
    </w:pPr>
    <w:r>
      <w:rPr>
        <w:rFonts w:ascii="Times New Roman" w:hAnsi="Times New Roman" w:cs="Times New Roman"/>
        <w:sz w:val="24"/>
        <w:szCs w:val="24"/>
      </w:rPr>
      <w:t>Baldwin and Pryor</w:t>
    </w:r>
  </w:p>
  <w:p w14:paraId="197CA5B1" w14:textId="77777777" w:rsidR="001023D7" w:rsidRDefault="001023D7">
    <w:pPr>
      <w:pStyle w:val="Header"/>
    </w:pPr>
  </w:p>
  <w:p w14:paraId="5DED33B1" w14:textId="77777777" w:rsidR="001023D7" w:rsidRDefault="001023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D0239"/>
    <w:multiLevelType w:val="multilevel"/>
    <w:tmpl w:val="0D80394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68A657E"/>
    <w:multiLevelType w:val="hybridMultilevel"/>
    <w:tmpl w:val="B6046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3C31E5"/>
    <w:multiLevelType w:val="hybridMultilevel"/>
    <w:tmpl w:val="9F9CC1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E95199F"/>
    <w:multiLevelType w:val="hybridMultilevel"/>
    <w:tmpl w:val="19AE698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A9F1EB2"/>
    <w:multiLevelType w:val="hybridMultilevel"/>
    <w:tmpl w:val="72661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623"/>
    <w:rsid w:val="00000317"/>
    <w:rsid w:val="0000166D"/>
    <w:rsid w:val="0000384B"/>
    <w:rsid w:val="00004298"/>
    <w:rsid w:val="00004A17"/>
    <w:rsid w:val="00005C66"/>
    <w:rsid w:val="000065AD"/>
    <w:rsid w:val="00006719"/>
    <w:rsid w:val="0000693F"/>
    <w:rsid w:val="00007F1F"/>
    <w:rsid w:val="000104C5"/>
    <w:rsid w:val="00011459"/>
    <w:rsid w:val="00011E60"/>
    <w:rsid w:val="00011E8F"/>
    <w:rsid w:val="00011EF9"/>
    <w:rsid w:val="00013F9C"/>
    <w:rsid w:val="000153E3"/>
    <w:rsid w:val="00015817"/>
    <w:rsid w:val="00021205"/>
    <w:rsid w:val="00021792"/>
    <w:rsid w:val="0002242B"/>
    <w:rsid w:val="0002327E"/>
    <w:rsid w:val="00023FEB"/>
    <w:rsid w:val="00025DA2"/>
    <w:rsid w:val="00026EBF"/>
    <w:rsid w:val="00030ADE"/>
    <w:rsid w:val="00030CE5"/>
    <w:rsid w:val="00031196"/>
    <w:rsid w:val="0003130C"/>
    <w:rsid w:val="00031D07"/>
    <w:rsid w:val="000329D1"/>
    <w:rsid w:val="00034817"/>
    <w:rsid w:val="00035ABC"/>
    <w:rsid w:val="00036C89"/>
    <w:rsid w:val="00037EB9"/>
    <w:rsid w:val="00044156"/>
    <w:rsid w:val="000444DB"/>
    <w:rsid w:val="00045108"/>
    <w:rsid w:val="000460E4"/>
    <w:rsid w:val="00046992"/>
    <w:rsid w:val="0005267B"/>
    <w:rsid w:val="000545E6"/>
    <w:rsid w:val="00055093"/>
    <w:rsid w:val="0005552F"/>
    <w:rsid w:val="0005724B"/>
    <w:rsid w:val="000618F5"/>
    <w:rsid w:val="00062AC0"/>
    <w:rsid w:val="00062C42"/>
    <w:rsid w:val="00066BDE"/>
    <w:rsid w:val="0006783A"/>
    <w:rsid w:val="000752F3"/>
    <w:rsid w:val="00077470"/>
    <w:rsid w:val="000777FB"/>
    <w:rsid w:val="00077FD1"/>
    <w:rsid w:val="00080E62"/>
    <w:rsid w:val="00080F0F"/>
    <w:rsid w:val="000819C6"/>
    <w:rsid w:val="0008243A"/>
    <w:rsid w:val="000833D2"/>
    <w:rsid w:val="000834B0"/>
    <w:rsid w:val="00084946"/>
    <w:rsid w:val="0008650F"/>
    <w:rsid w:val="000921BC"/>
    <w:rsid w:val="00092DED"/>
    <w:rsid w:val="00094055"/>
    <w:rsid w:val="000963BF"/>
    <w:rsid w:val="000976BA"/>
    <w:rsid w:val="000A0931"/>
    <w:rsid w:val="000A1C84"/>
    <w:rsid w:val="000A400E"/>
    <w:rsid w:val="000A5790"/>
    <w:rsid w:val="000A7F72"/>
    <w:rsid w:val="000B34BD"/>
    <w:rsid w:val="000B401E"/>
    <w:rsid w:val="000B4CA1"/>
    <w:rsid w:val="000B759F"/>
    <w:rsid w:val="000C05AB"/>
    <w:rsid w:val="000C23C1"/>
    <w:rsid w:val="000C26A1"/>
    <w:rsid w:val="000C2AC4"/>
    <w:rsid w:val="000C2FAF"/>
    <w:rsid w:val="000C4145"/>
    <w:rsid w:val="000C7117"/>
    <w:rsid w:val="000C7BF0"/>
    <w:rsid w:val="000D247E"/>
    <w:rsid w:val="000D3ED7"/>
    <w:rsid w:val="000D49BA"/>
    <w:rsid w:val="000D6CA4"/>
    <w:rsid w:val="000D6D96"/>
    <w:rsid w:val="000E554E"/>
    <w:rsid w:val="000E6BC6"/>
    <w:rsid w:val="000E7086"/>
    <w:rsid w:val="000F0B0C"/>
    <w:rsid w:val="000F351B"/>
    <w:rsid w:val="000F5230"/>
    <w:rsid w:val="000F56E7"/>
    <w:rsid w:val="000F61C8"/>
    <w:rsid w:val="000F7ABE"/>
    <w:rsid w:val="000F7C96"/>
    <w:rsid w:val="001023D7"/>
    <w:rsid w:val="00103F50"/>
    <w:rsid w:val="00106D3D"/>
    <w:rsid w:val="0010708D"/>
    <w:rsid w:val="00107DCA"/>
    <w:rsid w:val="00110552"/>
    <w:rsid w:val="00111354"/>
    <w:rsid w:val="0011236C"/>
    <w:rsid w:val="0011338D"/>
    <w:rsid w:val="00113850"/>
    <w:rsid w:val="00113929"/>
    <w:rsid w:val="0012145F"/>
    <w:rsid w:val="00121836"/>
    <w:rsid w:val="00121F1A"/>
    <w:rsid w:val="00123169"/>
    <w:rsid w:val="00123758"/>
    <w:rsid w:val="001243EF"/>
    <w:rsid w:val="0012581D"/>
    <w:rsid w:val="0012741C"/>
    <w:rsid w:val="00130B51"/>
    <w:rsid w:val="00131AD1"/>
    <w:rsid w:val="00132874"/>
    <w:rsid w:val="00136464"/>
    <w:rsid w:val="00137261"/>
    <w:rsid w:val="00140487"/>
    <w:rsid w:val="00142D85"/>
    <w:rsid w:val="00143004"/>
    <w:rsid w:val="001439AF"/>
    <w:rsid w:val="00144ED7"/>
    <w:rsid w:val="001457CD"/>
    <w:rsid w:val="00145A64"/>
    <w:rsid w:val="0014741B"/>
    <w:rsid w:val="0014773A"/>
    <w:rsid w:val="00152038"/>
    <w:rsid w:val="00153C9E"/>
    <w:rsid w:val="00155527"/>
    <w:rsid w:val="00157B5A"/>
    <w:rsid w:val="00160444"/>
    <w:rsid w:val="0016100F"/>
    <w:rsid w:val="001614E3"/>
    <w:rsid w:val="00161B81"/>
    <w:rsid w:val="00162726"/>
    <w:rsid w:val="001628FE"/>
    <w:rsid w:val="00164332"/>
    <w:rsid w:val="00165949"/>
    <w:rsid w:val="001666F9"/>
    <w:rsid w:val="00166E33"/>
    <w:rsid w:val="00171A94"/>
    <w:rsid w:val="00172B1C"/>
    <w:rsid w:val="001774F3"/>
    <w:rsid w:val="00177AC1"/>
    <w:rsid w:val="00182713"/>
    <w:rsid w:val="001856C7"/>
    <w:rsid w:val="00186F30"/>
    <w:rsid w:val="00190499"/>
    <w:rsid w:val="001913A9"/>
    <w:rsid w:val="0019226A"/>
    <w:rsid w:val="0019284A"/>
    <w:rsid w:val="00193540"/>
    <w:rsid w:val="00193E82"/>
    <w:rsid w:val="00194241"/>
    <w:rsid w:val="001963B3"/>
    <w:rsid w:val="001A15DA"/>
    <w:rsid w:val="001A1E84"/>
    <w:rsid w:val="001A2111"/>
    <w:rsid w:val="001A4F8E"/>
    <w:rsid w:val="001A619B"/>
    <w:rsid w:val="001A738C"/>
    <w:rsid w:val="001A74C7"/>
    <w:rsid w:val="001B5E68"/>
    <w:rsid w:val="001B6102"/>
    <w:rsid w:val="001C008F"/>
    <w:rsid w:val="001C4FB8"/>
    <w:rsid w:val="001C5771"/>
    <w:rsid w:val="001C7B56"/>
    <w:rsid w:val="001D0945"/>
    <w:rsid w:val="001D0EDD"/>
    <w:rsid w:val="001D31ED"/>
    <w:rsid w:val="001D3600"/>
    <w:rsid w:val="001D3B7D"/>
    <w:rsid w:val="001D5DFF"/>
    <w:rsid w:val="001D68F0"/>
    <w:rsid w:val="001D6FF7"/>
    <w:rsid w:val="001D719A"/>
    <w:rsid w:val="001D7DAE"/>
    <w:rsid w:val="001E0E7E"/>
    <w:rsid w:val="001E2EA3"/>
    <w:rsid w:val="001E5DD9"/>
    <w:rsid w:val="001E75A6"/>
    <w:rsid w:val="001E7AC4"/>
    <w:rsid w:val="001F0436"/>
    <w:rsid w:val="001F05E3"/>
    <w:rsid w:val="001F648F"/>
    <w:rsid w:val="001F6F91"/>
    <w:rsid w:val="001F715C"/>
    <w:rsid w:val="001F7238"/>
    <w:rsid w:val="001F781E"/>
    <w:rsid w:val="0020108B"/>
    <w:rsid w:val="00202AB1"/>
    <w:rsid w:val="002030E2"/>
    <w:rsid w:val="00203E55"/>
    <w:rsid w:val="00203E86"/>
    <w:rsid w:val="002048EC"/>
    <w:rsid w:val="00205B79"/>
    <w:rsid w:val="0020796F"/>
    <w:rsid w:val="002079F3"/>
    <w:rsid w:val="002114B4"/>
    <w:rsid w:val="002118CA"/>
    <w:rsid w:val="002129A0"/>
    <w:rsid w:val="00212DC0"/>
    <w:rsid w:val="00212DE6"/>
    <w:rsid w:val="00215849"/>
    <w:rsid w:val="0021591C"/>
    <w:rsid w:val="002201C4"/>
    <w:rsid w:val="00220594"/>
    <w:rsid w:val="00220755"/>
    <w:rsid w:val="002234B5"/>
    <w:rsid w:val="002257D5"/>
    <w:rsid w:val="0022592B"/>
    <w:rsid w:val="002325C1"/>
    <w:rsid w:val="0023465E"/>
    <w:rsid w:val="00234F3B"/>
    <w:rsid w:val="00235163"/>
    <w:rsid w:val="00235DCE"/>
    <w:rsid w:val="00236F68"/>
    <w:rsid w:val="002430AA"/>
    <w:rsid w:val="00245816"/>
    <w:rsid w:val="00245DBA"/>
    <w:rsid w:val="0025105F"/>
    <w:rsid w:val="002519CE"/>
    <w:rsid w:val="00255696"/>
    <w:rsid w:val="002570C7"/>
    <w:rsid w:val="002577C6"/>
    <w:rsid w:val="00261E1A"/>
    <w:rsid w:val="00262976"/>
    <w:rsid w:val="00263DF2"/>
    <w:rsid w:val="0026463A"/>
    <w:rsid w:val="002646FF"/>
    <w:rsid w:val="00265C3B"/>
    <w:rsid w:val="00267772"/>
    <w:rsid w:val="00267B0F"/>
    <w:rsid w:val="00270E25"/>
    <w:rsid w:val="00272616"/>
    <w:rsid w:val="00273030"/>
    <w:rsid w:val="00274AAC"/>
    <w:rsid w:val="00274BC3"/>
    <w:rsid w:val="00274BDA"/>
    <w:rsid w:val="002779AB"/>
    <w:rsid w:val="002838DF"/>
    <w:rsid w:val="00284669"/>
    <w:rsid w:val="0028523A"/>
    <w:rsid w:val="00286A5B"/>
    <w:rsid w:val="0028748C"/>
    <w:rsid w:val="00291939"/>
    <w:rsid w:val="00291C7A"/>
    <w:rsid w:val="00291CD2"/>
    <w:rsid w:val="0029597A"/>
    <w:rsid w:val="002A0A2A"/>
    <w:rsid w:val="002A2DA4"/>
    <w:rsid w:val="002A5849"/>
    <w:rsid w:val="002A760C"/>
    <w:rsid w:val="002A7DC4"/>
    <w:rsid w:val="002B28BE"/>
    <w:rsid w:val="002B4200"/>
    <w:rsid w:val="002B53F3"/>
    <w:rsid w:val="002B595A"/>
    <w:rsid w:val="002B5E78"/>
    <w:rsid w:val="002B6F5D"/>
    <w:rsid w:val="002B7CF6"/>
    <w:rsid w:val="002C1467"/>
    <w:rsid w:val="002C37E6"/>
    <w:rsid w:val="002C3E0E"/>
    <w:rsid w:val="002C4263"/>
    <w:rsid w:val="002C59CE"/>
    <w:rsid w:val="002C6D10"/>
    <w:rsid w:val="002C6FC5"/>
    <w:rsid w:val="002C7BEE"/>
    <w:rsid w:val="002D0E48"/>
    <w:rsid w:val="002D1237"/>
    <w:rsid w:val="002D1E7A"/>
    <w:rsid w:val="002D3CA7"/>
    <w:rsid w:val="002D4243"/>
    <w:rsid w:val="002D44EF"/>
    <w:rsid w:val="002D4977"/>
    <w:rsid w:val="002D6206"/>
    <w:rsid w:val="002D6DD8"/>
    <w:rsid w:val="002D72F8"/>
    <w:rsid w:val="002E0D17"/>
    <w:rsid w:val="002E1E5C"/>
    <w:rsid w:val="002E2577"/>
    <w:rsid w:val="002E28FF"/>
    <w:rsid w:val="002E3F8D"/>
    <w:rsid w:val="002E6EEA"/>
    <w:rsid w:val="002F175D"/>
    <w:rsid w:val="002F1CA0"/>
    <w:rsid w:val="002F506A"/>
    <w:rsid w:val="002F5989"/>
    <w:rsid w:val="002F63D2"/>
    <w:rsid w:val="002F6541"/>
    <w:rsid w:val="00300D40"/>
    <w:rsid w:val="00301272"/>
    <w:rsid w:val="00302378"/>
    <w:rsid w:val="00303697"/>
    <w:rsid w:val="00304F5E"/>
    <w:rsid w:val="00306782"/>
    <w:rsid w:val="00306920"/>
    <w:rsid w:val="003108B4"/>
    <w:rsid w:val="003128C0"/>
    <w:rsid w:val="00314281"/>
    <w:rsid w:val="0031484D"/>
    <w:rsid w:val="00314B16"/>
    <w:rsid w:val="00314E61"/>
    <w:rsid w:val="003152A8"/>
    <w:rsid w:val="0031543E"/>
    <w:rsid w:val="00315FA0"/>
    <w:rsid w:val="003175CB"/>
    <w:rsid w:val="00317675"/>
    <w:rsid w:val="00322251"/>
    <w:rsid w:val="00324D0A"/>
    <w:rsid w:val="00324F4B"/>
    <w:rsid w:val="003265E1"/>
    <w:rsid w:val="0033122F"/>
    <w:rsid w:val="00331C01"/>
    <w:rsid w:val="003336A5"/>
    <w:rsid w:val="003338E7"/>
    <w:rsid w:val="00333A9E"/>
    <w:rsid w:val="003348A3"/>
    <w:rsid w:val="00335066"/>
    <w:rsid w:val="003361ED"/>
    <w:rsid w:val="00336FD7"/>
    <w:rsid w:val="00341CF8"/>
    <w:rsid w:val="00341F06"/>
    <w:rsid w:val="00344117"/>
    <w:rsid w:val="0034431E"/>
    <w:rsid w:val="0034499D"/>
    <w:rsid w:val="003458FF"/>
    <w:rsid w:val="00346FDA"/>
    <w:rsid w:val="00347494"/>
    <w:rsid w:val="0035305D"/>
    <w:rsid w:val="003543C0"/>
    <w:rsid w:val="00355682"/>
    <w:rsid w:val="00356341"/>
    <w:rsid w:val="0035789B"/>
    <w:rsid w:val="00361D96"/>
    <w:rsid w:val="00362721"/>
    <w:rsid w:val="003629CE"/>
    <w:rsid w:val="00366B55"/>
    <w:rsid w:val="00367A34"/>
    <w:rsid w:val="00371540"/>
    <w:rsid w:val="00371C30"/>
    <w:rsid w:val="00374E7B"/>
    <w:rsid w:val="003769D7"/>
    <w:rsid w:val="00377912"/>
    <w:rsid w:val="00380357"/>
    <w:rsid w:val="003804BF"/>
    <w:rsid w:val="00381FBC"/>
    <w:rsid w:val="003839A9"/>
    <w:rsid w:val="0038459A"/>
    <w:rsid w:val="00384D0F"/>
    <w:rsid w:val="00385987"/>
    <w:rsid w:val="00386672"/>
    <w:rsid w:val="003868C4"/>
    <w:rsid w:val="003878AE"/>
    <w:rsid w:val="00392C26"/>
    <w:rsid w:val="00397BFE"/>
    <w:rsid w:val="003A0BD3"/>
    <w:rsid w:val="003A47FE"/>
    <w:rsid w:val="003A4E57"/>
    <w:rsid w:val="003A641A"/>
    <w:rsid w:val="003A6F43"/>
    <w:rsid w:val="003B06BA"/>
    <w:rsid w:val="003B46C4"/>
    <w:rsid w:val="003B62D2"/>
    <w:rsid w:val="003B7345"/>
    <w:rsid w:val="003B74B9"/>
    <w:rsid w:val="003B77AD"/>
    <w:rsid w:val="003C0EEE"/>
    <w:rsid w:val="003C10AF"/>
    <w:rsid w:val="003C4D31"/>
    <w:rsid w:val="003C4E63"/>
    <w:rsid w:val="003C6D91"/>
    <w:rsid w:val="003C7C14"/>
    <w:rsid w:val="003D0938"/>
    <w:rsid w:val="003D26C5"/>
    <w:rsid w:val="003D2F73"/>
    <w:rsid w:val="003D4421"/>
    <w:rsid w:val="003D5ACC"/>
    <w:rsid w:val="003D628C"/>
    <w:rsid w:val="003E0AB0"/>
    <w:rsid w:val="003E2049"/>
    <w:rsid w:val="003E387B"/>
    <w:rsid w:val="003E4416"/>
    <w:rsid w:val="003E6BB5"/>
    <w:rsid w:val="003F1D6E"/>
    <w:rsid w:val="003F1ED3"/>
    <w:rsid w:val="003F2105"/>
    <w:rsid w:val="003F27D9"/>
    <w:rsid w:val="003F361C"/>
    <w:rsid w:val="003F48CF"/>
    <w:rsid w:val="003F531D"/>
    <w:rsid w:val="003F5BD8"/>
    <w:rsid w:val="00401026"/>
    <w:rsid w:val="0040404A"/>
    <w:rsid w:val="004058A1"/>
    <w:rsid w:val="0040689A"/>
    <w:rsid w:val="00407355"/>
    <w:rsid w:val="00407895"/>
    <w:rsid w:val="004176D0"/>
    <w:rsid w:val="0041774B"/>
    <w:rsid w:val="00417879"/>
    <w:rsid w:val="00420BC2"/>
    <w:rsid w:val="004215FC"/>
    <w:rsid w:val="00421929"/>
    <w:rsid w:val="00422734"/>
    <w:rsid w:val="0042358A"/>
    <w:rsid w:val="004247F6"/>
    <w:rsid w:val="004254A6"/>
    <w:rsid w:val="00425516"/>
    <w:rsid w:val="00426F72"/>
    <w:rsid w:val="004270E4"/>
    <w:rsid w:val="004306BB"/>
    <w:rsid w:val="00430985"/>
    <w:rsid w:val="00430EF3"/>
    <w:rsid w:val="00432E63"/>
    <w:rsid w:val="004338EF"/>
    <w:rsid w:val="00433E1F"/>
    <w:rsid w:val="00436044"/>
    <w:rsid w:val="00441C90"/>
    <w:rsid w:val="004422DC"/>
    <w:rsid w:val="004438F6"/>
    <w:rsid w:val="00444154"/>
    <w:rsid w:val="00446BC3"/>
    <w:rsid w:val="004476AE"/>
    <w:rsid w:val="00453115"/>
    <w:rsid w:val="00456127"/>
    <w:rsid w:val="00457827"/>
    <w:rsid w:val="0046290A"/>
    <w:rsid w:val="00466EBD"/>
    <w:rsid w:val="004714E3"/>
    <w:rsid w:val="00471730"/>
    <w:rsid w:val="00471C86"/>
    <w:rsid w:val="00472043"/>
    <w:rsid w:val="00473E2F"/>
    <w:rsid w:val="004752E4"/>
    <w:rsid w:val="00476EEE"/>
    <w:rsid w:val="0048098E"/>
    <w:rsid w:val="00480C86"/>
    <w:rsid w:val="00481761"/>
    <w:rsid w:val="004832FF"/>
    <w:rsid w:val="00484BEF"/>
    <w:rsid w:val="00485FDD"/>
    <w:rsid w:val="0048773F"/>
    <w:rsid w:val="00491262"/>
    <w:rsid w:val="004949DA"/>
    <w:rsid w:val="00496F08"/>
    <w:rsid w:val="00497198"/>
    <w:rsid w:val="004A07B7"/>
    <w:rsid w:val="004A2350"/>
    <w:rsid w:val="004A2708"/>
    <w:rsid w:val="004A2C35"/>
    <w:rsid w:val="004A4CA5"/>
    <w:rsid w:val="004A75AD"/>
    <w:rsid w:val="004A7DD0"/>
    <w:rsid w:val="004B0E05"/>
    <w:rsid w:val="004B208E"/>
    <w:rsid w:val="004B2518"/>
    <w:rsid w:val="004B5216"/>
    <w:rsid w:val="004B5BB8"/>
    <w:rsid w:val="004C1153"/>
    <w:rsid w:val="004C145B"/>
    <w:rsid w:val="004C1AE1"/>
    <w:rsid w:val="004C1C3B"/>
    <w:rsid w:val="004C28E9"/>
    <w:rsid w:val="004C423A"/>
    <w:rsid w:val="004C5902"/>
    <w:rsid w:val="004C593D"/>
    <w:rsid w:val="004C7259"/>
    <w:rsid w:val="004C7C5F"/>
    <w:rsid w:val="004D0769"/>
    <w:rsid w:val="004E067E"/>
    <w:rsid w:val="004E17B4"/>
    <w:rsid w:val="004E1F5E"/>
    <w:rsid w:val="004E3A97"/>
    <w:rsid w:val="004E52BC"/>
    <w:rsid w:val="004E6BC8"/>
    <w:rsid w:val="004E7910"/>
    <w:rsid w:val="004F051A"/>
    <w:rsid w:val="004F0F63"/>
    <w:rsid w:val="004F1F28"/>
    <w:rsid w:val="004F3CD5"/>
    <w:rsid w:val="004F4817"/>
    <w:rsid w:val="004F507F"/>
    <w:rsid w:val="00500279"/>
    <w:rsid w:val="00503888"/>
    <w:rsid w:val="00504477"/>
    <w:rsid w:val="00505277"/>
    <w:rsid w:val="005059EA"/>
    <w:rsid w:val="00505B2E"/>
    <w:rsid w:val="00506685"/>
    <w:rsid w:val="00506F53"/>
    <w:rsid w:val="00512506"/>
    <w:rsid w:val="00512E72"/>
    <w:rsid w:val="005173EC"/>
    <w:rsid w:val="00520704"/>
    <w:rsid w:val="005210AE"/>
    <w:rsid w:val="005211FB"/>
    <w:rsid w:val="005218AE"/>
    <w:rsid w:val="00521EC1"/>
    <w:rsid w:val="00524115"/>
    <w:rsid w:val="00525710"/>
    <w:rsid w:val="005271F9"/>
    <w:rsid w:val="00527ADA"/>
    <w:rsid w:val="00530900"/>
    <w:rsid w:val="00530960"/>
    <w:rsid w:val="00533A8E"/>
    <w:rsid w:val="0053557A"/>
    <w:rsid w:val="00536E39"/>
    <w:rsid w:val="00537E11"/>
    <w:rsid w:val="00540A88"/>
    <w:rsid w:val="00540B41"/>
    <w:rsid w:val="005439CA"/>
    <w:rsid w:val="00547740"/>
    <w:rsid w:val="005500B6"/>
    <w:rsid w:val="0055118C"/>
    <w:rsid w:val="00551483"/>
    <w:rsid w:val="00551FC4"/>
    <w:rsid w:val="00552768"/>
    <w:rsid w:val="00552C5E"/>
    <w:rsid w:val="00556DD6"/>
    <w:rsid w:val="00557049"/>
    <w:rsid w:val="00557D1C"/>
    <w:rsid w:val="005603E1"/>
    <w:rsid w:val="005615AB"/>
    <w:rsid w:val="0056210C"/>
    <w:rsid w:val="00562947"/>
    <w:rsid w:val="00562EE1"/>
    <w:rsid w:val="00565E33"/>
    <w:rsid w:val="00566F59"/>
    <w:rsid w:val="0057120E"/>
    <w:rsid w:val="00572755"/>
    <w:rsid w:val="00573CB9"/>
    <w:rsid w:val="00575315"/>
    <w:rsid w:val="00582903"/>
    <w:rsid w:val="00583295"/>
    <w:rsid w:val="005833F4"/>
    <w:rsid w:val="00584552"/>
    <w:rsid w:val="00584677"/>
    <w:rsid w:val="00584D4F"/>
    <w:rsid w:val="00587D6F"/>
    <w:rsid w:val="005907E0"/>
    <w:rsid w:val="0059217B"/>
    <w:rsid w:val="005928D7"/>
    <w:rsid w:val="00594426"/>
    <w:rsid w:val="00596579"/>
    <w:rsid w:val="00596966"/>
    <w:rsid w:val="005A4EF5"/>
    <w:rsid w:val="005A5994"/>
    <w:rsid w:val="005A5AFF"/>
    <w:rsid w:val="005A7289"/>
    <w:rsid w:val="005B1EEE"/>
    <w:rsid w:val="005B27FD"/>
    <w:rsid w:val="005B7002"/>
    <w:rsid w:val="005C02E3"/>
    <w:rsid w:val="005C051F"/>
    <w:rsid w:val="005C1532"/>
    <w:rsid w:val="005C2B4C"/>
    <w:rsid w:val="005C3A19"/>
    <w:rsid w:val="005C3C9F"/>
    <w:rsid w:val="005C4AF6"/>
    <w:rsid w:val="005C634D"/>
    <w:rsid w:val="005C752F"/>
    <w:rsid w:val="005C7552"/>
    <w:rsid w:val="005C79F0"/>
    <w:rsid w:val="005C7C7C"/>
    <w:rsid w:val="005D1C90"/>
    <w:rsid w:val="005D1CCE"/>
    <w:rsid w:val="005D3E25"/>
    <w:rsid w:val="005D45F4"/>
    <w:rsid w:val="005D5461"/>
    <w:rsid w:val="005E267D"/>
    <w:rsid w:val="005E26C8"/>
    <w:rsid w:val="005E2A4D"/>
    <w:rsid w:val="005E4154"/>
    <w:rsid w:val="005E4366"/>
    <w:rsid w:val="005F16FF"/>
    <w:rsid w:val="005F22A7"/>
    <w:rsid w:val="005F3995"/>
    <w:rsid w:val="005F678E"/>
    <w:rsid w:val="00601154"/>
    <w:rsid w:val="00602C82"/>
    <w:rsid w:val="00603446"/>
    <w:rsid w:val="00605016"/>
    <w:rsid w:val="00610453"/>
    <w:rsid w:val="00610D1C"/>
    <w:rsid w:val="00610FBF"/>
    <w:rsid w:val="00613DF7"/>
    <w:rsid w:val="00615EAF"/>
    <w:rsid w:val="0061722F"/>
    <w:rsid w:val="00620843"/>
    <w:rsid w:val="00620F15"/>
    <w:rsid w:val="00631CD0"/>
    <w:rsid w:val="006366CF"/>
    <w:rsid w:val="00636AC7"/>
    <w:rsid w:val="00644225"/>
    <w:rsid w:val="006454F4"/>
    <w:rsid w:val="006458B3"/>
    <w:rsid w:val="00647883"/>
    <w:rsid w:val="00647D35"/>
    <w:rsid w:val="006506A9"/>
    <w:rsid w:val="00650A76"/>
    <w:rsid w:val="00651649"/>
    <w:rsid w:val="00656C5D"/>
    <w:rsid w:val="00660C05"/>
    <w:rsid w:val="00661554"/>
    <w:rsid w:val="0066174C"/>
    <w:rsid w:val="00662C42"/>
    <w:rsid w:val="0066460F"/>
    <w:rsid w:val="00667F54"/>
    <w:rsid w:val="00670057"/>
    <w:rsid w:val="006719AB"/>
    <w:rsid w:val="006746CD"/>
    <w:rsid w:val="0067591F"/>
    <w:rsid w:val="006759E8"/>
    <w:rsid w:val="00677628"/>
    <w:rsid w:val="00677F04"/>
    <w:rsid w:val="0068267A"/>
    <w:rsid w:val="00683D57"/>
    <w:rsid w:val="00683E9A"/>
    <w:rsid w:val="00685F84"/>
    <w:rsid w:val="006868A3"/>
    <w:rsid w:val="006903EF"/>
    <w:rsid w:val="006908ED"/>
    <w:rsid w:val="00692388"/>
    <w:rsid w:val="0069407A"/>
    <w:rsid w:val="00697FA5"/>
    <w:rsid w:val="006A3EC4"/>
    <w:rsid w:val="006A4132"/>
    <w:rsid w:val="006A41F2"/>
    <w:rsid w:val="006A4723"/>
    <w:rsid w:val="006A6152"/>
    <w:rsid w:val="006B0142"/>
    <w:rsid w:val="006B45F9"/>
    <w:rsid w:val="006B4A51"/>
    <w:rsid w:val="006B5F9B"/>
    <w:rsid w:val="006B6045"/>
    <w:rsid w:val="006C0B53"/>
    <w:rsid w:val="006C0EB6"/>
    <w:rsid w:val="006C1D3F"/>
    <w:rsid w:val="006C2BE8"/>
    <w:rsid w:val="006C6E71"/>
    <w:rsid w:val="006D193B"/>
    <w:rsid w:val="006D5242"/>
    <w:rsid w:val="006D6702"/>
    <w:rsid w:val="006D7850"/>
    <w:rsid w:val="006E01AE"/>
    <w:rsid w:val="006E093D"/>
    <w:rsid w:val="006E0B5C"/>
    <w:rsid w:val="006E1164"/>
    <w:rsid w:val="006E2217"/>
    <w:rsid w:val="006E4623"/>
    <w:rsid w:val="006E6B23"/>
    <w:rsid w:val="006E76F6"/>
    <w:rsid w:val="006E7D1D"/>
    <w:rsid w:val="006F11B5"/>
    <w:rsid w:val="006F3000"/>
    <w:rsid w:val="006F6D91"/>
    <w:rsid w:val="00700F07"/>
    <w:rsid w:val="0070146E"/>
    <w:rsid w:val="007017EA"/>
    <w:rsid w:val="00701F7B"/>
    <w:rsid w:val="00702572"/>
    <w:rsid w:val="007033A8"/>
    <w:rsid w:val="007050BB"/>
    <w:rsid w:val="00706152"/>
    <w:rsid w:val="00706AE1"/>
    <w:rsid w:val="00711895"/>
    <w:rsid w:val="00714725"/>
    <w:rsid w:val="00714D46"/>
    <w:rsid w:val="00714DE2"/>
    <w:rsid w:val="00715389"/>
    <w:rsid w:val="007164DD"/>
    <w:rsid w:val="007172BA"/>
    <w:rsid w:val="00717D60"/>
    <w:rsid w:val="00720B28"/>
    <w:rsid w:val="007218B8"/>
    <w:rsid w:val="00722DE9"/>
    <w:rsid w:val="00725147"/>
    <w:rsid w:val="00725598"/>
    <w:rsid w:val="00725D32"/>
    <w:rsid w:val="00726C7B"/>
    <w:rsid w:val="00730C14"/>
    <w:rsid w:val="007314F3"/>
    <w:rsid w:val="00733816"/>
    <w:rsid w:val="00733C0B"/>
    <w:rsid w:val="007341B0"/>
    <w:rsid w:val="007406A8"/>
    <w:rsid w:val="00740E0D"/>
    <w:rsid w:val="00742F39"/>
    <w:rsid w:val="00742F75"/>
    <w:rsid w:val="00751326"/>
    <w:rsid w:val="00751D62"/>
    <w:rsid w:val="00753321"/>
    <w:rsid w:val="007538CB"/>
    <w:rsid w:val="00760BEE"/>
    <w:rsid w:val="00760F97"/>
    <w:rsid w:val="00761C7C"/>
    <w:rsid w:val="00762769"/>
    <w:rsid w:val="00762904"/>
    <w:rsid w:val="00762CB8"/>
    <w:rsid w:val="00763FB4"/>
    <w:rsid w:val="007643C1"/>
    <w:rsid w:val="00766927"/>
    <w:rsid w:val="007709E1"/>
    <w:rsid w:val="00772390"/>
    <w:rsid w:val="00780CAB"/>
    <w:rsid w:val="00781BD8"/>
    <w:rsid w:val="00781C74"/>
    <w:rsid w:val="00782437"/>
    <w:rsid w:val="00782653"/>
    <w:rsid w:val="00782BB5"/>
    <w:rsid w:val="007842A1"/>
    <w:rsid w:val="0078496C"/>
    <w:rsid w:val="007851AB"/>
    <w:rsid w:val="007855A5"/>
    <w:rsid w:val="00785FCC"/>
    <w:rsid w:val="007909BE"/>
    <w:rsid w:val="00791283"/>
    <w:rsid w:val="00792F02"/>
    <w:rsid w:val="007939D4"/>
    <w:rsid w:val="00794BED"/>
    <w:rsid w:val="00795982"/>
    <w:rsid w:val="00797046"/>
    <w:rsid w:val="0079789A"/>
    <w:rsid w:val="007A0072"/>
    <w:rsid w:val="007A0770"/>
    <w:rsid w:val="007A1E6C"/>
    <w:rsid w:val="007A307E"/>
    <w:rsid w:val="007B0860"/>
    <w:rsid w:val="007B1802"/>
    <w:rsid w:val="007B3325"/>
    <w:rsid w:val="007C0058"/>
    <w:rsid w:val="007C3EBC"/>
    <w:rsid w:val="007C5936"/>
    <w:rsid w:val="007C694E"/>
    <w:rsid w:val="007D0045"/>
    <w:rsid w:val="007D04DE"/>
    <w:rsid w:val="007D10F1"/>
    <w:rsid w:val="007D3CEA"/>
    <w:rsid w:val="007D4D0C"/>
    <w:rsid w:val="007D5C78"/>
    <w:rsid w:val="007D5CB7"/>
    <w:rsid w:val="007D640A"/>
    <w:rsid w:val="007D66F4"/>
    <w:rsid w:val="007D7881"/>
    <w:rsid w:val="007E35B5"/>
    <w:rsid w:val="007E393F"/>
    <w:rsid w:val="007E68CE"/>
    <w:rsid w:val="007E7503"/>
    <w:rsid w:val="007F0367"/>
    <w:rsid w:val="007F40B8"/>
    <w:rsid w:val="007F66A0"/>
    <w:rsid w:val="00800ED3"/>
    <w:rsid w:val="00800EE3"/>
    <w:rsid w:val="0080467D"/>
    <w:rsid w:val="00804D2E"/>
    <w:rsid w:val="00806026"/>
    <w:rsid w:val="00806401"/>
    <w:rsid w:val="008070AE"/>
    <w:rsid w:val="008076F1"/>
    <w:rsid w:val="00810283"/>
    <w:rsid w:val="008122AA"/>
    <w:rsid w:val="00814083"/>
    <w:rsid w:val="00816962"/>
    <w:rsid w:val="00817D95"/>
    <w:rsid w:val="00822C4C"/>
    <w:rsid w:val="008238D9"/>
    <w:rsid w:val="00823A51"/>
    <w:rsid w:val="00826617"/>
    <w:rsid w:val="00830777"/>
    <w:rsid w:val="008314D1"/>
    <w:rsid w:val="00833A7E"/>
    <w:rsid w:val="00835C55"/>
    <w:rsid w:val="008374E8"/>
    <w:rsid w:val="00840E20"/>
    <w:rsid w:val="008425F7"/>
    <w:rsid w:val="00843710"/>
    <w:rsid w:val="00843C9C"/>
    <w:rsid w:val="00843F85"/>
    <w:rsid w:val="0084667A"/>
    <w:rsid w:val="00846731"/>
    <w:rsid w:val="008470BE"/>
    <w:rsid w:val="00850C78"/>
    <w:rsid w:val="008513BC"/>
    <w:rsid w:val="00851B93"/>
    <w:rsid w:val="00852097"/>
    <w:rsid w:val="00852E26"/>
    <w:rsid w:val="0085312A"/>
    <w:rsid w:val="00854708"/>
    <w:rsid w:val="008552BA"/>
    <w:rsid w:val="00855D96"/>
    <w:rsid w:val="00856419"/>
    <w:rsid w:val="00856AB9"/>
    <w:rsid w:val="00856EC9"/>
    <w:rsid w:val="00860D41"/>
    <w:rsid w:val="00861A5E"/>
    <w:rsid w:val="008621DB"/>
    <w:rsid w:val="00862E4C"/>
    <w:rsid w:val="008649FB"/>
    <w:rsid w:val="008702E4"/>
    <w:rsid w:val="00870A7F"/>
    <w:rsid w:val="00872C1D"/>
    <w:rsid w:val="00873460"/>
    <w:rsid w:val="00875F31"/>
    <w:rsid w:val="008762BE"/>
    <w:rsid w:val="00876971"/>
    <w:rsid w:val="00881509"/>
    <w:rsid w:val="00881AFE"/>
    <w:rsid w:val="008825C0"/>
    <w:rsid w:val="0088498D"/>
    <w:rsid w:val="00886A54"/>
    <w:rsid w:val="00887478"/>
    <w:rsid w:val="00894DF1"/>
    <w:rsid w:val="0089636F"/>
    <w:rsid w:val="00896636"/>
    <w:rsid w:val="008A1A59"/>
    <w:rsid w:val="008A23AF"/>
    <w:rsid w:val="008A23D8"/>
    <w:rsid w:val="008A507C"/>
    <w:rsid w:val="008A5208"/>
    <w:rsid w:val="008A67DD"/>
    <w:rsid w:val="008B07C6"/>
    <w:rsid w:val="008B0DFD"/>
    <w:rsid w:val="008C002F"/>
    <w:rsid w:val="008C0BEE"/>
    <w:rsid w:val="008C1EB1"/>
    <w:rsid w:val="008C2353"/>
    <w:rsid w:val="008C2CAC"/>
    <w:rsid w:val="008C525D"/>
    <w:rsid w:val="008C65A3"/>
    <w:rsid w:val="008C6705"/>
    <w:rsid w:val="008C6B1B"/>
    <w:rsid w:val="008D088E"/>
    <w:rsid w:val="008D14F5"/>
    <w:rsid w:val="008D23FD"/>
    <w:rsid w:val="008D35C1"/>
    <w:rsid w:val="008D3E74"/>
    <w:rsid w:val="008D54FC"/>
    <w:rsid w:val="008D6163"/>
    <w:rsid w:val="008E31F7"/>
    <w:rsid w:val="008E37D8"/>
    <w:rsid w:val="008E4DA8"/>
    <w:rsid w:val="008E52C4"/>
    <w:rsid w:val="008E5ED7"/>
    <w:rsid w:val="008E67CB"/>
    <w:rsid w:val="008F12A3"/>
    <w:rsid w:val="008F19AB"/>
    <w:rsid w:val="008F2CA2"/>
    <w:rsid w:val="008F47E9"/>
    <w:rsid w:val="008F5216"/>
    <w:rsid w:val="008F6FDF"/>
    <w:rsid w:val="008F7CA2"/>
    <w:rsid w:val="009004F2"/>
    <w:rsid w:val="0090101A"/>
    <w:rsid w:val="0090132F"/>
    <w:rsid w:val="00904675"/>
    <w:rsid w:val="00904DD7"/>
    <w:rsid w:val="00905C2E"/>
    <w:rsid w:val="0090716E"/>
    <w:rsid w:val="00907BF2"/>
    <w:rsid w:val="00910BDA"/>
    <w:rsid w:val="00912449"/>
    <w:rsid w:val="00912D4C"/>
    <w:rsid w:val="0091393B"/>
    <w:rsid w:val="00914AF4"/>
    <w:rsid w:val="00920069"/>
    <w:rsid w:val="00921C0A"/>
    <w:rsid w:val="009233EC"/>
    <w:rsid w:val="00924FC4"/>
    <w:rsid w:val="009256B9"/>
    <w:rsid w:val="00930C3B"/>
    <w:rsid w:val="00931695"/>
    <w:rsid w:val="009316A0"/>
    <w:rsid w:val="0093196A"/>
    <w:rsid w:val="00932AE0"/>
    <w:rsid w:val="00932FD4"/>
    <w:rsid w:val="0093322B"/>
    <w:rsid w:val="00933C0B"/>
    <w:rsid w:val="009353D0"/>
    <w:rsid w:val="00936032"/>
    <w:rsid w:val="00936A46"/>
    <w:rsid w:val="00944DF1"/>
    <w:rsid w:val="00945FA0"/>
    <w:rsid w:val="009462CD"/>
    <w:rsid w:val="0095127B"/>
    <w:rsid w:val="00952AE6"/>
    <w:rsid w:val="0095331F"/>
    <w:rsid w:val="00953C9B"/>
    <w:rsid w:val="00954A88"/>
    <w:rsid w:val="00954FD0"/>
    <w:rsid w:val="00955394"/>
    <w:rsid w:val="00963E78"/>
    <w:rsid w:val="00965C05"/>
    <w:rsid w:val="0097043B"/>
    <w:rsid w:val="00970D52"/>
    <w:rsid w:val="00972B1D"/>
    <w:rsid w:val="0097714B"/>
    <w:rsid w:val="00977911"/>
    <w:rsid w:val="00977C3D"/>
    <w:rsid w:val="00981563"/>
    <w:rsid w:val="009835BF"/>
    <w:rsid w:val="00983E8C"/>
    <w:rsid w:val="009853CE"/>
    <w:rsid w:val="00987C6D"/>
    <w:rsid w:val="00991889"/>
    <w:rsid w:val="00991FC2"/>
    <w:rsid w:val="00996C60"/>
    <w:rsid w:val="009A1295"/>
    <w:rsid w:val="009A4E7C"/>
    <w:rsid w:val="009A5095"/>
    <w:rsid w:val="009A5482"/>
    <w:rsid w:val="009A5E7B"/>
    <w:rsid w:val="009A7036"/>
    <w:rsid w:val="009A7672"/>
    <w:rsid w:val="009A7A6C"/>
    <w:rsid w:val="009B2EB9"/>
    <w:rsid w:val="009B4C5C"/>
    <w:rsid w:val="009B4F55"/>
    <w:rsid w:val="009B5FFF"/>
    <w:rsid w:val="009C2ACF"/>
    <w:rsid w:val="009D20C0"/>
    <w:rsid w:val="009D2574"/>
    <w:rsid w:val="009D2968"/>
    <w:rsid w:val="009D33A8"/>
    <w:rsid w:val="009D475A"/>
    <w:rsid w:val="009D6232"/>
    <w:rsid w:val="009E25B9"/>
    <w:rsid w:val="009E2783"/>
    <w:rsid w:val="009E4C73"/>
    <w:rsid w:val="009F232E"/>
    <w:rsid w:val="009F3C02"/>
    <w:rsid w:val="009F4073"/>
    <w:rsid w:val="009F468C"/>
    <w:rsid w:val="009F4853"/>
    <w:rsid w:val="009F63E7"/>
    <w:rsid w:val="009F706D"/>
    <w:rsid w:val="009F7C20"/>
    <w:rsid w:val="00A00CB5"/>
    <w:rsid w:val="00A017A8"/>
    <w:rsid w:val="00A0191F"/>
    <w:rsid w:val="00A03F8F"/>
    <w:rsid w:val="00A04A8C"/>
    <w:rsid w:val="00A06222"/>
    <w:rsid w:val="00A06976"/>
    <w:rsid w:val="00A10524"/>
    <w:rsid w:val="00A125C2"/>
    <w:rsid w:val="00A1775D"/>
    <w:rsid w:val="00A20F45"/>
    <w:rsid w:val="00A2310F"/>
    <w:rsid w:val="00A24EDF"/>
    <w:rsid w:val="00A25734"/>
    <w:rsid w:val="00A306A9"/>
    <w:rsid w:val="00A310BA"/>
    <w:rsid w:val="00A313EF"/>
    <w:rsid w:val="00A32F35"/>
    <w:rsid w:val="00A333C2"/>
    <w:rsid w:val="00A33851"/>
    <w:rsid w:val="00A345FD"/>
    <w:rsid w:val="00A3545A"/>
    <w:rsid w:val="00A35870"/>
    <w:rsid w:val="00A35D36"/>
    <w:rsid w:val="00A36373"/>
    <w:rsid w:val="00A377AE"/>
    <w:rsid w:val="00A41406"/>
    <w:rsid w:val="00A422C2"/>
    <w:rsid w:val="00A43576"/>
    <w:rsid w:val="00A46036"/>
    <w:rsid w:val="00A470A8"/>
    <w:rsid w:val="00A477B0"/>
    <w:rsid w:val="00A51499"/>
    <w:rsid w:val="00A5169D"/>
    <w:rsid w:val="00A51EDB"/>
    <w:rsid w:val="00A524D2"/>
    <w:rsid w:val="00A551D8"/>
    <w:rsid w:val="00A56AF6"/>
    <w:rsid w:val="00A5779D"/>
    <w:rsid w:val="00A60878"/>
    <w:rsid w:val="00A60B1F"/>
    <w:rsid w:val="00A617F3"/>
    <w:rsid w:val="00A65F6D"/>
    <w:rsid w:val="00A70772"/>
    <w:rsid w:val="00A70A55"/>
    <w:rsid w:val="00A70C3B"/>
    <w:rsid w:val="00A71016"/>
    <w:rsid w:val="00A7211C"/>
    <w:rsid w:val="00A7461B"/>
    <w:rsid w:val="00A74637"/>
    <w:rsid w:val="00A7742D"/>
    <w:rsid w:val="00A8115E"/>
    <w:rsid w:val="00A811B5"/>
    <w:rsid w:val="00A82066"/>
    <w:rsid w:val="00A83B90"/>
    <w:rsid w:val="00A85683"/>
    <w:rsid w:val="00A93389"/>
    <w:rsid w:val="00A9753B"/>
    <w:rsid w:val="00A97AF1"/>
    <w:rsid w:val="00AA0E3F"/>
    <w:rsid w:val="00AA0F03"/>
    <w:rsid w:val="00AA4CC6"/>
    <w:rsid w:val="00AA6775"/>
    <w:rsid w:val="00AA7B7D"/>
    <w:rsid w:val="00AB0506"/>
    <w:rsid w:val="00AB085F"/>
    <w:rsid w:val="00AB1838"/>
    <w:rsid w:val="00AB196F"/>
    <w:rsid w:val="00AB25E9"/>
    <w:rsid w:val="00AB3728"/>
    <w:rsid w:val="00AB43CA"/>
    <w:rsid w:val="00AB48B0"/>
    <w:rsid w:val="00AB4FCE"/>
    <w:rsid w:val="00AB5AF1"/>
    <w:rsid w:val="00AB5FC7"/>
    <w:rsid w:val="00AB7E0C"/>
    <w:rsid w:val="00AC0101"/>
    <w:rsid w:val="00AC1755"/>
    <w:rsid w:val="00AC1EAE"/>
    <w:rsid w:val="00AC25AC"/>
    <w:rsid w:val="00AC390F"/>
    <w:rsid w:val="00AC41CB"/>
    <w:rsid w:val="00AC468E"/>
    <w:rsid w:val="00AC6027"/>
    <w:rsid w:val="00AC62B0"/>
    <w:rsid w:val="00AD0AB2"/>
    <w:rsid w:val="00AD4641"/>
    <w:rsid w:val="00AD695A"/>
    <w:rsid w:val="00AD708E"/>
    <w:rsid w:val="00AE6F4D"/>
    <w:rsid w:val="00AF0334"/>
    <w:rsid w:val="00AF05AF"/>
    <w:rsid w:val="00AF2ABE"/>
    <w:rsid w:val="00AF4940"/>
    <w:rsid w:val="00AF630F"/>
    <w:rsid w:val="00AF6C89"/>
    <w:rsid w:val="00AF6EE7"/>
    <w:rsid w:val="00AF70BB"/>
    <w:rsid w:val="00AF7587"/>
    <w:rsid w:val="00B014D8"/>
    <w:rsid w:val="00B01C83"/>
    <w:rsid w:val="00B04BDF"/>
    <w:rsid w:val="00B04D07"/>
    <w:rsid w:val="00B061B4"/>
    <w:rsid w:val="00B075BE"/>
    <w:rsid w:val="00B111C4"/>
    <w:rsid w:val="00B14CBD"/>
    <w:rsid w:val="00B15A3A"/>
    <w:rsid w:val="00B16F2D"/>
    <w:rsid w:val="00B17449"/>
    <w:rsid w:val="00B20209"/>
    <w:rsid w:val="00B2147C"/>
    <w:rsid w:val="00B228E4"/>
    <w:rsid w:val="00B2318D"/>
    <w:rsid w:val="00B23C75"/>
    <w:rsid w:val="00B248A6"/>
    <w:rsid w:val="00B24B3A"/>
    <w:rsid w:val="00B25332"/>
    <w:rsid w:val="00B2551F"/>
    <w:rsid w:val="00B25A55"/>
    <w:rsid w:val="00B25DC5"/>
    <w:rsid w:val="00B26876"/>
    <w:rsid w:val="00B27041"/>
    <w:rsid w:val="00B33664"/>
    <w:rsid w:val="00B34FE3"/>
    <w:rsid w:val="00B3543C"/>
    <w:rsid w:val="00B40235"/>
    <w:rsid w:val="00B4205C"/>
    <w:rsid w:val="00B43ADE"/>
    <w:rsid w:val="00B43F85"/>
    <w:rsid w:val="00B453CE"/>
    <w:rsid w:val="00B4618A"/>
    <w:rsid w:val="00B461E7"/>
    <w:rsid w:val="00B510A5"/>
    <w:rsid w:val="00B51C11"/>
    <w:rsid w:val="00B534E5"/>
    <w:rsid w:val="00B53574"/>
    <w:rsid w:val="00B55617"/>
    <w:rsid w:val="00B56DE1"/>
    <w:rsid w:val="00B6485C"/>
    <w:rsid w:val="00B64ADA"/>
    <w:rsid w:val="00B65B1E"/>
    <w:rsid w:val="00B65EB0"/>
    <w:rsid w:val="00B67DB4"/>
    <w:rsid w:val="00B7329E"/>
    <w:rsid w:val="00B7352A"/>
    <w:rsid w:val="00B73DE9"/>
    <w:rsid w:val="00B752AF"/>
    <w:rsid w:val="00B77885"/>
    <w:rsid w:val="00B82068"/>
    <w:rsid w:val="00B8297C"/>
    <w:rsid w:val="00B82E0A"/>
    <w:rsid w:val="00B83794"/>
    <w:rsid w:val="00B843AB"/>
    <w:rsid w:val="00B94159"/>
    <w:rsid w:val="00B94F9A"/>
    <w:rsid w:val="00B95758"/>
    <w:rsid w:val="00B958DF"/>
    <w:rsid w:val="00B971DB"/>
    <w:rsid w:val="00BA1FC3"/>
    <w:rsid w:val="00BA3541"/>
    <w:rsid w:val="00BA3B2E"/>
    <w:rsid w:val="00BA419D"/>
    <w:rsid w:val="00BA4BF5"/>
    <w:rsid w:val="00BA50EB"/>
    <w:rsid w:val="00BA5D8D"/>
    <w:rsid w:val="00BA77B8"/>
    <w:rsid w:val="00BB4151"/>
    <w:rsid w:val="00BB7934"/>
    <w:rsid w:val="00BB7DFC"/>
    <w:rsid w:val="00BC0BF8"/>
    <w:rsid w:val="00BC0CD4"/>
    <w:rsid w:val="00BC14CA"/>
    <w:rsid w:val="00BC40B1"/>
    <w:rsid w:val="00BC5DEC"/>
    <w:rsid w:val="00BC792B"/>
    <w:rsid w:val="00BC7AF9"/>
    <w:rsid w:val="00BD0A7C"/>
    <w:rsid w:val="00BD2E57"/>
    <w:rsid w:val="00BD2FCB"/>
    <w:rsid w:val="00BD3CED"/>
    <w:rsid w:val="00BD4237"/>
    <w:rsid w:val="00BD47C8"/>
    <w:rsid w:val="00BD642A"/>
    <w:rsid w:val="00BE140A"/>
    <w:rsid w:val="00BE7CEE"/>
    <w:rsid w:val="00BF08F0"/>
    <w:rsid w:val="00BF116E"/>
    <w:rsid w:val="00BF22D9"/>
    <w:rsid w:val="00BF3717"/>
    <w:rsid w:val="00BF5BD2"/>
    <w:rsid w:val="00BF5DD3"/>
    <w:rsid w:val="00BF64B9"/>
    <w:rsid w:val="00BF7894"/>
    <w:rsid w:val="00BF7A32"/>
    <w:rsid w:val="00C01AD0"/>
    <w:rsid w:val="00C1145B"/>
    <w:rsid w:val="00C139D0"/>
    <w:rsid w:val="00C15B52"/>
    <w:rsid w:val="00C15EEE"/>
    <w:rsid w:val="00C16160"/>
    <w:rsid w:val="00C16A3F"/>
    <w:rsid w:val="00C20ACA"/>
    <w:rsid w:val="00C214CF"/>
    <w:rsid w:val="00C215DC"/>
    <w:rsid w:val="00C21808"/>
    <w:rsid w:val="00C21A6C"/>
    <w:rsid w:val="00C21C24"/>
    <w:rsid w:val="00C220FE"/>
    <w:rsid w:val="00C2216A"/>
    <w:rsid w:val="00C22211"/>
    <w:rsid w:val="00C240A6"/>
    <w:rsid w:val="00C25889"/>
    <w:rsid w:val="00C27321"/>
    <w:rsid w:val="00C30161"/>
    <w:rsid w:val="00C331E1"/>
    <w:rsid w:val="00C34E1D"/>
    <w:rsid w:val="00C350E5"/>
    <w:rsid w:val="00C3557B"/>
    <w:rsid w:val="00C40228"/>
    <w:rsid w:val="00C42EB5"/>
    <w:rsid w:val="00C44FF8"/>
    <w:rsid w:val="00C45E67"/>
    <w:rsid w:val="00C45E76"/>
    <w:rsid w:val="00C46DAD"/>
    <w:rsid w:val="00C4778E"/>
    <w:rsid w:val="00C510F1"/>
    <w:rsid w:val="00C51F66"/>
    <w:rsid w:val="00C526C9"/>
    <w:rsid w:val="00C5293D"/>
    <w:rsid w:val="00C609C1"/>
    <w:rsid w:val="00C62D5F"/>
    <w:rsid w:val="00C64336"/>
    <w:rsid w:val="00C6445F"/>
    <w:rsid w:val="00C73A0D"/>
    <w:rsid w:val="00C75A86"/>
    <w:rsid w:val="00C80E2B"/>
    <w:rsid w:val="00C83BCA"/>
    <w:rsid w:val="00C83C70"/>
    <w:rsid w:val="00C844A9"/>
    <w:rsid w:val="00C84A09"/>
    <w:rsid w:val="00C858A3"/>
    <w:rsid w:val="00C863FA"/>
    <w:rsid w:val="00C8705A"/>
    <w:rsid w:val="00C91FEE"/>
    <w:rsid w:val="00C91FFF"/>
    <w:rsid w:val="00C92398"/>
    <w:rsid w:val="00C96F67"/>
    <w:rsid w:val="00C97DB4"/>
    <w:rsid w:val="00C97F66"/>
    <w:rsid w:val="00CA012F"/>
    <w:rsid w:val="00CA11E1"/>
    <w:rsid w:val="00CA1483"/>
    <w:rsid w:val="00CA297E"/>
    <w:rsid w:val="00CA299D"/>
    <w:rsid w:val="00CA2CD2"/>
    <w:rsid w:val="00CA4CF1"/>
    <w:rsid w:val="00CA6176"/>
    <w:rsid w:val="00CA675E"/>
    <w:rsid w:val="00CA6F29"/>
    <w:rsid w:val="00CB08D1"/>
    <w:rsid w:val="00CB31CF"/>
    <w:rsid w:val="00CB36EC"/>
    <w:rsid w:val="00CB40F6"/>
    <w:rsid w:val="00CC171E"/>
    <w:rsid w:val="00CC41E7"/>
    <w:rsid w:val="00CC4967"/>
    <w:rsid w:val="00CC4E27"/>
    <w:rsid w:val="00CD0158"/>
    <w:rsid w:val="00CD13B9"/>
    <w:rsid w:val="00CD320E"/>
    <w:rsid w:val="00CD366B"/>
    <w:rsid w:val="00CD5532"/>
    <w:rsid w:val="00CD5BEF"/>
    <w:rsid w:val="00CD5F21"/>
    <w:rsid w:val="00CD6638"/>
    <w:rsid w:val="00CD735A"/>
    <w:rsid w:val="00CE1467"/>
    <w:rsid w:val="00CE28C0"/>
    <w:rsid w:val="00CE76E2"/>
    <w:rsid w:val="00CF17A7"/>
    <w:rsid w:val="00CF1E96"/>
    <w:rsid w:val="00CF6B82"/>
    <w:rsid w:val="00CF75EB"/>
    <w:rsid w:val="00D00B14"/>
    <w:rsid w:val="00D01FEB"/>
    <w:rsid w:val="00D02F37"/>
    <w:rsid w:val="00D05059"/>
    <w:rsid w:val="00D055D4"/>
    <w:rsid w:val="00D05609"/>
    <w:rsid w:val="00D1055D"/>
    <w:rsid w:val="00D10BC0"/>
    <w:rsid w:val="00D115D7"/>
    <w:rsid w:val="00D11B74"/>
    <w:rsid w:val="00D12B50"/>
    <w:rsid w:val="00D13AF3"/>
    <w:rsid w:val="00D16B0D"/>
    <w:rsid w:val="00D177E7"/>
    <w:rsid w:val="00D26A81"/>
    <w:rsid w:val="00D32615"/>
    <w:rsid w:val="00D32D71"/>
    <w:rsid w:val="00D338D5"/>
    <w:rsid w:val="00D34292"/>
    <w:rsid w:val="00D346CE"/>
    <w:rsid w:val="00D355E5"/>
    <w:rsid w:val="00D36993"/>
    <w:rsid w:val="00D36AA6"/>
    <w:rsid w:val="00D37150"/>
    <w:rsid w:val="00D40A7B"/>
    <w:rsid w:val="00D42766"/>
    <w:rsid w:val="00D449B3"/>
    <w:rsid w:val="00D454DE"/>
    <w:rsid w:val="00D45C00"/>
    <w:rsid w:val="00D464E5"/>
    <w:rsid w:val="00D47C16"/>
    <w:rsid w:val="00D50A8C"/>
    <w:rsid w:val="00D53096"/>
    <w:rsid w:val="00D53B27"/>
    <w:rsid w:val="00D5471F"/>
    <w:rsid w:val="00D556DA"/>
    <w:rsid w:val="00D55B52"/>
    <w:rsid w:val="00D5628E"/>
    <w:rsid w:val="00D64C1E"/>
    <w:rsid w:val="00D67785"/>
    <w:rsid w:val="00D73A9A"/>
    <w:rsid w:val="00D73B22"/>
    <w:rsid w:val="00D74D49"/>
    <w:rsid w:val="00D77259"/>
    <w:rsid w:val="00D94F24"/>
    <w:rsid w:val="00D95575"/>
    <w:rsid w:val="00D97774"/>
    <w:rsid w:val="00DA0051"/>
    <w:rsid w:val="00DA2348"/>
    <w:rsid w:val="00DA5533"/>
    <w:rsid w:val="00DA7A8D"/>
    <w:rsid w:val="00DB36AD"/>
    <w:rsid w:val="00DB47FC"/>
    <w:rsid w:val="00DB50DD"/>
    <w:rsid w:val="00DB5848"/>
    <w:rsid w:val="00DB65EB"/>
    <w:rsid w:val="00DC1556"/>
    <w:rsid w:val="00DC17D5"/>
    <w:rsid w:val="00DC1FF4"/>
    <w:rsid w:val="00DC24AA"/>
    <w:rsid w:val="00DC3FE0"/>
    <w:rsid w:val="00DC409F"/>
    <w:rsid w:val="00DC417D"/>
    <w:rsid w:val="00DC44DF"/>
    <w:rsid w:val="00DD18E7"/>
    <w:rsid w:val="00DD42F0"/>
    <w:rsid w:val="00DE0E44"/>
    <w:rsid w:val="00DE1520"/>
    <w:rsid w:val="00DE2E0A"/>
    <w:rsid w:val="00DE3BC0"/>
    <w:rsid w:val="00DE4093"/>
    <w:rsid w:val="00DE46CD"/>
    <w:rsid w:val="00DE6C86"/>
    <w:rsid w:val="00DF15DD"/>
    <w:rsid w:val="00DF252C"/>
    <w:rsid w:val="00DF2714"/>
    <w:rsid w:val="00DF2B10"/>
    <w:rsid w:val="00DF2DCA"/>
    <w:rsid w:val="00DF31CC"/>
    <w:rsid w:val="00DF5072"/>
    <w:rsid w:val="00DF52DB"/>
    <w:rsid w:val="00DF5D36"/>
    <w:rsid w:val="00DF7CBD"/>
    <w:rsid w:val="00E007EA"/>
    <w:rsid w:val="00E0121A"/>
    <w:rsid w:val="00E05793"/>
    <w:rsid w:val="00E0665C"/>
    <w:rsid w:val="00E0787C"/>
    <w:rsid w:val="00E07B46"/>
    <w:rsid w:val="00E117F4"/>
    <w:rsid w:val="00E1587E"/>
    <w:rsid w:val="00E161BB"/>
    <w:rsid w:val="00E163E7"/>
    <w:rsid w:val="00E22F85"/>
    <w:rsid w:val="00E249D1"/>
    <w:rsid w:val="00E2753D"/>
    <w:rsid w:val="00E27E8D"/>
    <w:rsid w:val="00E311CB"/>
    <w:rsid w:val="00E31B71"/>
    <w:rsid w:val="00E34732"/>
    <w:rsid w:val="00E35C33"/>
    <w:rsid w:val="00E368AC"/>
    <w:rsid w:val="00E41CAE"/>
    <w:rsid w:val="00E42361"/>
    <w:rsid w:val="00E426CF"/>
    <w:rsid w:val="00E4315A"/>
    <w:rsid w:val="00E4679B"/>
    <w:rsid w:val="00E475C3"/>
    <w:rsid w:val="00E47DEA"/>
    <w:rsid w:val="00E525A2"/>
    <w:rsid w:val="00E534A4"/>
    <w:rsid w:val="00E578DD"/>
    <w:rsid w:val="00E57DEC"/>
    <w:rsid w:val="00E60BB2"/>
    <w:rsid w:val="00E6360C"/>
    <w:rsid w:val="00E6449B"/>
    <w:rsid w:val="00E6487F"/>
    <w:rsid w:val="00E65CF6"/>
    <w:rsid w:val="00E65D65"/>
    <w:rsid w:val="00E665F4"/>
    <w:rsid w:val="00E66B6E"/>
    <w:rsid w:val="00E67B76"/>
    <w:rsid w:val="00E71607"/>
    <w:rsid w:val="00E717A7"/>
    <w:rsid w:val="00E72F9F"/>
    <w:rsid w:val="00E731FC"/>
    <w:rsid w:val="00E7531F"/>
    <w:rsid w:val="00E76E06"/>
    <w:rsid w:val="00E80868"/>
    <w:rsid w:val="00E80A2F"/>
    <w:rsid w:val="00E80B8A"/>
    <w:rsid w:val="00E81BF8"/>
    <w:rsid w:val="00E82DB5"/>
    <w:rsid w:val="00E83BD6"/>
    <w:rsid w:val="00E84C45"/>
    <w:rsid w:val="00E85DC5"/>
    <w:rsid w:val="00E87808"/>
    <w:rsid w:val="00E879FC"/>
    <w:rsid w:val="00E95383"/>
    <w:rsid w:val="00EA06CB"/>
    <w:rsid w:val="00EA23AB"/>
    <w:rsid w:val="00EA3B2C"/>
    <w:rsid w:val="00EB0C3B"/>
    <w:rsid w:val="00EC1B07"/>
    <w:rsid w:val="00EC3FE1"/>
    <w:rsid w:val="00EC426D"/>
    <w:rsid w:val="00EC5705"/>
    <w:rsid w:val="00EC59FC"/>
    <w:rsid w:val="00ED10B0"/>
    <w:rsid w:val="00ED1D0E"/>
    <w:rsid w:val="00ED2575"/>
    <w:rsid w:val="00ED32E7"/>
    <w:rsid w:val="00ED3C0C"/>
    <w:rsid w:val="00ED5383"/>
    <w:rsid w:val="00ED668E"/>
    <w:rsid w:val="00ED6722"/>
    <w:rsid w:val="00ED7760"/>
    <w:rsid w:val="00EE0F7C"/>
    <w:rsid w:val="00EE1035"/>
    <w:rsid w:val="00EE31F4"/>
    <w:rsid w:val="00EE5E04"/>
    <w:rsid w:val="00EE6812"/>
    <w:rsid w:val="00EF0DFD"/>
    <w:rsid w:val="00EF1384"/>
    <w:rsid w:val="00EF1B12"/>
    <w:rsid w:val="00EF398D"/>
    <w:rsid w:val="00EF4B99"/>
    <w:rsid w:val="00EF51F6"/>
    <w:rsid w:val="00EF6D48"/>
    <w:rsid w:val="00F001FD"/>
    <w:rsid w:val="00F00430"/>
    <w:rsid w:val="00F00643"/>
    <w:rsid w:val="00F0205C"/>
    <w:rsid w:val="00F03431"/>
    <w:rsid w:val="00F05CF0"/>
    <w:rsid w:val="00F075A7"/>
    <w:rsid w:val="00F11155"/>
    <w:rsid w:val="00F11613"/>
    <w:rsid w:val="00F1162B"/>
    <w:rsid w:val="00F12244"/>
    <w:rsid w:val="00F12A8B"/>
    <w:rsid w:val="00F12D61"/>
    <w:rsid w:val="00F16EAD"/>
    <w:rsid w:val="00F24C93"/>
    <w:rsid w:val="00F256B1"/>
    <w:rsid w:val="00F273AD"/>
    <w:rsid w:val="00F33937"/>
    <w:rsid w:val="00F33B12"/>
    <w:rsid w:val="00F344B4"/>
    <w:rsid w:val="00F345E3"/>
    <w:rsid w:val="00F34F07"/>
    <w:rsid w:val="00F35999"/>
    <w:rsid w:val="00F35A47"/>
    <w:rsid w:val="00F36A2B"/>
    <w:rsid w:val="00F3702F"/>
    <w:rsid w:val="00F40C48"/>
    <w:rsid w:val="00F42007"/>
    <w:rsid w:val="00F44237"/>
    <w:rsid w:val="00F45A47"/>
    <w:rsid w:val="00F476F5"/>
    <w:rsid w:val="00F47C05"/>
    <w:rsid w:val="00F5017F"/>
    <w:rsid w:val="00F518B8"/>
    <w:rsid w:val="00F51F6B"/>
    <w:rsid w:val="00F51F7A"/>
    <w:rsid w:val="00F51FBF"/>
    <w:rsid w:val="00F5312A"/>
    <w:rsid w:val="00F5473A"/>
    <w:rsid w:val="00F54747"/>
    <w:rsid w:val="00F551EC"/>
    <w:rsid w:val="00F608F9"/>
    <w:rsid w:val="00F62785"/>
    <w:rsid w:val="00F62B63"/>
    <w:rsid w:val="00F6634C"/>
    <w:rsid w:val="00F6681D"/>
    <w:rsid w:val="00F700A5"/>
    <w:rsid w:val="00F70DAD"/>
    <w:rsid w:val="00F71939"/>
    <w:rsid w:val="00F734A1"/>
    <w:rsid w:val="00F746BD"/>
    <w:rsid w:val="00F746CE"/>
    <w:rsid w:val="00F75833"/>
    <w:rsid w:val="00F75D38"/>
    <w:rsid w:val="00F77469"/>
    <w:rsid w:val="00F7760A"/>
    <w:rsid w:val="00F8147C"/>
    <w:rsid w:val="00F831FC"/>
    <w:rsid w:val="00F87183"/>
    <w:rsid w:val="00F87FF7"/>
    <w:rsid w:val="00F90946"/>
    <w:rsid w:val="00F91731"/>
    <w:rsid w:val="00F93D15"/>
    <w:rsid w:val="00F94EB2"/>
    <w:rsid w:val="00F956E5"/>
    <w:rsid w:val="00F976B0"/>
    <w:rsid w:val="00FA0881"/>
    <w:rsid w:val="00FA1FD2"/>
    <w:rsid w:val="00FA2511"/>
    <w:rsid w:val="00FA5414"/>
    <w:rsid w:val="00FA627A"/>
    <w:rsid w:val="00FA6642"/>
    <w:rsid w:val="00FA678F"/>
    <w:rsid w:val="00FB1ED3"/>
    <w:rsid w:val="00FB60D6"/>
    <w:rsid w:val="00FC1DA3"/>
    <w:rsid w:val="00FC70E5"/>
    <w:rsid w:val="00FC7E52"/>
    <w:rsid w:val="00FD09DE"/>
    <w:rsid w:val="00FD2543"/>
    <w:rsid w:val="00FD2965"/>
    <w:rsid w:val="00FD2A6E"/>
    <w:rsid w:val="00FD4848"/>
    <w:rsid w:val="00FD48F7"/>
    <w:rsid w:val="00FD4E1E"/>
    <w:rsid w:val="00FD51E8"/>
    <w:rsid w:val="00FD5862"/>
    <w:rsid w:val="00FD62EE"/>
    <w:rsid w:val="00FD6BD2"/>
    <w:rsid w:val="00FE1F18"/>
    <w:rsid w:val="00FE29F3"/>
    <w:rsid w:val="00FE2CDD"/>
    <w:rsid w:val="00FE67B9"/>
    <w:rsid w:val="00FE7DAD"/>
    <w:rsid w:val="00FF055E"/>
    <w:rsid w:val="00FF13D4"/>
    <w:rsid w:val="00FF1538"/>
    <w:rsid w:val="00FF3B8F"/>
    <w:rsid w:val="00FF440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90F966"/>
  <w15:docId w15:val="{E21969E9-A3B5-4EEE-B217-2813F9048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771"/>
  </w:style>
  <w:style w:type="paragraph" w:styleId="Heading1">
    <w:name w:val="heading 1"/>
    <w:next w:val="Normal"/>
    <w:link w:val="Heading1Char"/>
    <w:uiPriority w:val="9"/>
    <w:unhideWhenUsed/>
    <w:qFormat/>
    <w:rsid w:val="00766927"/>
    <w:pPr>
      <w:keepNext/>
      <w:keepLines/>
      <w:spacing w:after="243" w:line="265" w:lineRule="auto"/>
      <w:ind w:left="10" w:right="53" w:hanging="10"/>
      <w:jc w:val="both"/>
      <w:outlineLvl w:val="0"/>
    </w:pPr>
    <w:rPr>
      <w:rFonts w:ascii="Times New Roman" w:eastAsia="Times New Roman" w:hAnsi="Times New Roman" w:cs="Times New Roman"/>
      <w:color w:val="000000"/>
      <w:sz w:val="24"/>
    </w:rPr>
  </w:style>
  <w:style w:type="paragraph" w:styleId="Heading3">
    <w:name w:val="heading 3"/>
    <w:next w:val="Normal"/>
    <w:link w:val="Heading3Char"/>
    <w:uiPriority w:val="9"/>
    <w:unhideWhenUsed/>
    <w:qFormat/>
    <w:rsid w:val="00766927"/>
    <w:pPr>
      <w:keepNext/>
      <w:keepLines/>
      <w:spacing w:after="248" w:line="259" w:lineRule="auto"/>
      <w:ind w:left="10" w:hanging="10"/>
      <w:outlineLvl w:val="2"/>
    </w:pPr>
    <w:rPr>
      <w:rFonts w:ascii="Times New Roman" w:eastAsia="Times New Roman" w:hAnsi="Times New Roman" w:cs="Times New Roman"/>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F7C96"/>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rsid w:val="000F7C96"/>
    <w:rPr>
      <w:rFonts w:ascii="Times New Roman" w:hAnsi="Times New Roman"/>
      <w:sz w:val="20"/>
      <w:szCs w:val="20"/>
    </w:rPr>
  </w:style>
  <w:style w:type="character" w:styleId="FootnoteReference">
    <w:name w:val="footnote reference"/>
    <w:basedOn w:val="DefaultParagraphFont"/>
    <w:uiPriority w:val="99"/>
    <w:semiHidden/>
    <w:unhideWhenUsed/>
    <w:rsid w:val="00267772"/>
    <w:rPr>
      <w:vertAlign w:val="superscript"/>
    </w:rPr>
  </w:style>
  <w:style w:type="paragraph" w:styleId="Header">
    <w:name w:val="header"/>
    <w:basedOn w:val="Normal"/>
    <w:link w:val="HeaderChar"/>
    <w:uiPriority w:val="99"/>
    <w:unhideWhenUsed/>
    <w:rsid w:val="00407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895"/>
  </w:style>
  <w:style w:type="paragraph" w:styleId="Footer">
    <w:name w:val="footer"/>
    <w:basedOn w:val="Normal"/>
    <w:link w:val="FooterChar"/>
    <w:uiPriority w:val="99"/>
    <w:unhideWhenUsed/>
    <w:rsid w:val="00407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895"/>
  </w:style>
  <w:style w:type="paragraph" w:styleId="ListParagraph">
    <w:name w:val="List Paragraph"/>
    <w:basedOn w:val="Normal"/>
    <w:uiPriority w:val="34"/>
    <w:qFormat/>
    <w:rsid w:val="00E85DC5"/>
    <w:pPr>
      <w:ind w:left="720"/>
      <w:contextualSpacing/>
    </w:pPr>
  </w:style>
  <w:style w:type="paragraph" w:styleId="BalloonText">
    <w:name w:val="Balloon Text"/>
    <w:basedOn w:val="Normal"/>
    <w:link w:val="BalloonTextChar"/>
    <w:uiPriority w:val="99"/>
    <w:semiHidden/>
    <w:unhideWhenUsed/>
    <w:rsid w:val="00B111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1C4"/>
    <w:rPr>
      <w:rFonts w:ascii="Tahoma" w:hAnsi="Tahoma" w:cs="Tahoma"/>
      <w:sz w:val="16"/>
      <w:szCs w:val="16"/>
    </w:rPr>
  </w:style>
  <w:style w:type="character" w:styleId="CommentReference">
    <w:name w:val="annotation reference"/>
    <w:basedOn w:val="DefaultParagraphFont"/>
    <w:uiPriority w:val="99"/>
    <w:semiHidden/>
    <w:unhideWhenUsed/>
    <w:rsid w:val="00F91731"/>
    <w:rPr>
      <w:sz w:val="16"/>
      <w:szCs w:val="16"/>
    </w:rPr>
  </w:style>
  <w:style w:type="paragraph" w:styleId="CommentText">
    <w:name w:val="annotation text"/>
    <w:basedOn w:val="Normal"/>
    <w:link w:val="CommentTextChar"/>
    <w:uiPriority w:val="99"/>
    <w:semiHidden/>
    <w:unhideWhenUsed/>
    <w:rsid w:val="00F91731"/>
    <w:pPr>
      <w:spacing w:line="240" w:lineRule="auto"/>
    </w:pPr>
    <w:rPr>
      <w:sz w:val="20"/>
      <w:szCs w:val="20"/>
    </w:rPr>
  </w:style>
  <w:style w:type="character" w:customStyle="1" w:styleId="CommentTextChar">
    <w:name w:val="Comment Text Char"/>
    <w:basedOn w:val="DefaultParagraphFont"/>
    <w:link w:val="CommentText"/>
    <w:uiPriority w:val="99"/>
    <w:semiHidden/>
    <w:rsid w:val="00F91731"/>
    <w:rPr>
      <w:sz w:val="20"/>
      <w:szCs w:val="20"/>
    </w:rPr>
  </w:style>
  <w:style w:type="paragraph" w:styleId="CommentSubject">
    <w:name w:val="annotation subject"/>
    <w:basedOn w:val="CommentText"/>
    <w:next w:val="CommentText"/>
    <w:link w:val="CommentSubjectChar"/>
    <w:uiPriority w:val="99"/>
    <w:semiHidden/>
    <w:unhideWhenUsed/>
    <w:rsid w:val="00F91731"/>
    <w:rPr>
      <w:b/>
      <w:bCs/>
    </w:rPr>
  </w:style>
  <w:style w:type="character" w:customStyle="1" w:styleId="CommentSubjectChar">
    <w:name w:val="Comment Subject Char"/>
    <w:basedOn w:val="CommentTextChar"/>
    <w:link w:val="CommentSubject"/>
    <w:uiPriority w:val="99"/>
    <w:semiHidden/>
    <w:rsid w:val="00F91731"/>
    <w:rPr>
      <w:b/>
      <w:bCs/>
      <w:sz w:val="20"/>
      <w:szCs w:val="20"/>
    </w:rPr>
  </w:style>
  <w:style w:type="character" w:styleId="Hyperlink">
    <w:name w:val="Hyperlink"/>
    <w:basedOn w:val="DefaultParagraphFont"/>
    <w:uiPriority w:val="99"/>
    <w:unhideWhenUsed/>
    <w:rsid w:val="001856C7"/>
    <w:rPr>
      <w:color w:val="0000FF" w:themeColor="hyperlink"/>
      <w:u w:val="single"/>
    </w:rPr>
  </w:style>
  <w:style w:type="paragraph" w:styleId="NormalWeb">
    <w:name w:val="Normal (Web)"/>
    <w:basedOn w:val="Normal"/>
    <w:uiPriority w:val="99"/>
    <w:semiHidden/>
    <w:unhideWhenUsed/>
    <w:rsid w:val="009533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66927"/>
    <w:rPr>
      <w:rFonts w:ascii="Times New Roman" w:eastAsia="Times New Roman" w:hAnsi="Times New Roman" w:cs="Times New Roman"/>
      <w:color w:val="000000"/>
      <w:sz w:val="24"/>
    </w:rPr>
  </w:style>
  <w:style w:type="character" w:customStyle="1" w:styleId="Heading3Char">
    <w:name w:val="Heading 3 Char"/>
    <w:basedOn w:val="DefaultParagraphFont"/>
    <w:link w:val="Heading3"/>
    <w:uiPriority w:val="9"/>
    <w:rsid w:val="00766927"/>
    <w:rPr>
      <w:rFonts w:ascii="Times New Roman" w:eastAsia="Times New Roman" w:hAnsi="Times New Roman" w:cs="Times New Roman"/>
      <w:b/>
      <w:i/>
      <w:color w:val="000000"/>
      <w:sz w:val="24"/>
    </w:rPr>
  </w:style>
  <w:style w:type="paragraph" w:customStyle="1" w:styleId="footnotedescription">
    <w:name w:val="footnote description"/>
    <w:next w:val="Normal"/>
    <w:link w:val="footnotedescriptionChar"/>
    <w:hidden/>
    <w:rsid w:val="00766927"/>
    <w:pPr>
      <w:spacing w:after="0" w:line="259"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766927"/>
    <w:rPr>
      <w:rFonts w:ascii="Times New Roman" w:eastAsia="Times New Roman" w:hAnsi="Times New Roman" w:cs="Times New Roman"/>
      <w:color w:val="000000"/>
      <w:sz w:val="20"/>
    </w:rPr>
  </w:style>
  <w:style w:type="character" w:styleId="Strong">
    <w:name w:val="Strong"/>
    <w:basedOn w:val="DefaultParagraphFont"/>
    <w:uiPriority w:val="22"/>
    <w:qFormat/>
    <w:rsid w:val="00B4205C"/>
    <w:rPr>
      <w:b/>
      <w:bCs/>
    </w:rPr>
  </w:style>
  <w:style w:type="character" w:styleId="Emphasis">
    <w:name w:val="Emphasis"/>
    <w:basedOn w:val="DefaultParagraphFont"/>
    <w:uiPriority w:val="20"/>
    <w:qFormat/>
    <w:rsid w:val="001E7A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87412">
      <w:bodyDiv w:val="1"/>
      <w:marLeft w:val="0"/>
      <w:marRight w:val="0"/>
      <w:marTop w:val="0"/>
      <w:marBottom w:val="0"/>
      <w:divBdr>
        <w:top w:val="none" w:sz="0" w:space="0" w:color="auto"/>
        <w:left w:val="none" w:sz="0" w:space="0" w:color="auto"/>
        <w:bottom w:val="none" w:sz="0" w:space="0" w:color="auto"/>
        <w:right w:val="none" w:sz="0" w:space="0" w:color="auto"/>
      </w:divBdr>
      <w:divsChild>
        <w:div w:id="2126847691">
          <w:marLeft w:val="225"/>
          <w:marRight w:val="225"/>
          <w:marTop w:val="0"/>
          <w:marBottom w:val="225"/>
          <w:divBdr>
            <w:top w:val="none" w:sz="0" w:space="0" w:color="auto"/>
            <w:left w:val="none" w:sz="0" w:space="0" w:color="auto"/>
            <w:bottom w:val="none" w:sz="0" w:space="0" w:color="auto"/>
            <w:right w:val="none" w:sz="0" w:space="0" w:color="auto"/>
          </w:divBdr>
          <w:divsChild>
            <w:div w:id="17486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72180">
      <w:bodyDiv w:val="1"/>
      <w:marLeft w:val="0"/>
      <w:marRight w:val="0"/>
      <w:marTop w:val="0"/>
      <w:marBottom w:val="0"/>
      <w:divBdr>
        <w:top w:val="none" w:sz="0" w:space="0" w:color="auto"/>
        <w:left w:val="none" w:sz="0" w:space="0" w:color="auto"/>
        <w:bottom w:val="none" w:sz="0" w:space="0" w:color="auto"/>
        <w:right w:val="none" w:sz="0" w:space="0" w:color="auto"/>
      </w:divBdr>
    </w:div>
    <w:div w:id="1528835380">
      <w:bodyDiv w:val="1"/>
      <w:marLeft w:val="0"/>
      <w:marRight w:val="0"/>
      <w:marTop w:val="0"/>
      <w:marBottom w:val="0"/>
      <w:divBdr>
        <w:top w:val="none" w:sz="0" w:space="0" w:color="auto"/>
        <w:left w:val="none" w:sz="0" w:space="0" w:color="auto"/>
        <w:bottom w:val="none" w:sz="0" w:space="0" w:color="auto"/>
        <w:right w:val="none" w:sz="0" w:space="0" w:color="auto"/>
      </w:divBdr>
      <w:divsChild>
        <w:div w:id="2999172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345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71424573">
      <w:bodyDiv w:val="1"/>
      <w:marLeft w:val="0"/>
      <w:marRight w:val="0"/>
      <w:marTop w:val="0"/>
      <w:marBottom w:val="0"/>
      <w:divBdr>
        <w:top w:val="none" w:sz="0" w:space="0" w:color="auto"/>
        <w:left w:val="none" w:sz="0" w:space="0" w:color="auto"/>
        <w:bottom w:val="none" w:sz="0" w:space="0" w:color="auto"/>
        <w:right w:val="none" w:sz="0" w:space="0" w:color="auto"/>
      </w:divBdr>
      <w:divsChild>
        <w:div w:id="1720325775">
          <w:marLeft w:val="0"/>
          <w:marRight w:val="0"/>
          <w:marTop w:val="0"/>
          <w:marBottom w:val="0"/>
          <w:divBdr>
            <w:top w:val="none" w:sz="0" w:space="0" w:color="auto"/>
            <w:left w:val="none" w:sz="0" w:space="0" w:color="auto"/>
            <w:bottom w:val="none" w:sz="0" w:space="0" w:color="auto"/>
            <w:right w:val="none" w:sz="0" w:space="0" w:color="auto"/>
          </w:divBdr>
          <w:divsChild>
            <w:div w:id="448545552">
              <w:marLeft w:val="3121"/>
              <w:marRight w:val="0"/>
              <w:marTop w:val="0"/>
              <w:marBottom w:val="0"/>
              <w:divBdr>
                <w:top w:val="none" w:sz="0" w:space="0" w:color="auto"/>
                <w:left w:val="none" w:sz="0" w:space="0" w:color="auto"/>
                <w:bottom w:val="none" w:sz="0" w:space="0" w:color="auto"/>
                <w:right w:val="none" w:sz="0" w:space="0" w:color="auto"/>
              </w:divBdr>
            </w:div>
          </w:divsChild>
        </w:div>
        <w:div w:id="429738258">
          <w:marLeft w:val="0"/>
          <w:marRight w:val="0"/>
          <w:marTop w:val="0"/>
          <w:marBottom w:val="0"/>
          <w:divBdr>
            <w:top w:val="none" w:sz="0" w:space="0" w:color="auto"/>
            <w:left w:val="none" w:sz="0" w:space="0" w:color="auto"/>
            <w:bottom w:val="none" w:sz="0" w:space="0" w:color="auto"/>
            <w:right w:val="none" w:sz="0" w:space="0" w:color="auto"/>
          </w:divBdr>
          <w:divsChild>
            <w:div w:id="163865427">
              <w:marLeft w:val="3121"/>
              <w:marRight w:val="0"/>
              <w:marTop w:val="0"/>
              <w:marBottom w:val="0"/>
              <w:divBdr>
                <w:top w:val="none" w:sz="0" w:space="0" w:color="auto"/>
                <w:left w:val="none" w:sz="0" w:space="0" w:color="auto"/>
                <w:bottom w:val="none" w:sz="0" w:space="0" w:color="auto"/>
                <w:right w:val="none" w:sz="0" w:space="0" w:color="auto"/>
              </w:divBdr>
            </w:div>
          </w:divsChild>
        </w:div>
      </w:divsChild>
    </w:div>
    <w:div w:id="1587687888">
      <w:bodyDiv w:val="1"/>
      <w:marLeft w:val="0"/>
      <w:marRight w:val="0"/>
      <w:marTop w:val="0"/>
      <w:marBottom w:val="0"/>
      <w:divBdr>
        <w:top w:val="none" w:sz="0" w:space="0" w:color="auto"/>
        <w:left w:val="none" w:sz="0" w:space="0" w:color="auto"/>
        <w:bottom w:val="none" w:sz="0" w:space="0" w:color="auto"/>
        <w:right w:val="none" w:sz="0" w:space="0" w:color="auto"/>
      </w:divBdr>
    </w:div>
    <w:div w:id="193142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culturalsurvival.org/publications/cultural-survival-quarterly/40-4-water-life" TargetMode="External"/><Relationship Id="rId1" Type="http://schemas.openxmlformats.org/officeDocument/2006/relationships/hyperlink" Target="https://ihl-databases.icrc.org/applic/ihl/ihl.nsf/Treaty.xsp?action=openDocument&amp;documentId=AE2D398352C5B028C12563CD002D6B5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1AE50-CFCB-4686-81B2-20D87FD4A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7200</Words>
  <Characters>41045</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Bomar</dc:creator>
  <cp:lastModifiedBy>Brent Burgess</cp:lastModifiedBy>
  <cp:revision>2</cp:revision>
  <cp:lastPrinted>2019-11-02T13:24:00Z</cp:lastPrinted>
  <dcterms:created xsi:type="dcterms:W3CDTF">2019-11-02T19:56:00Z</dcterms:created>
  <dcterms:modified xsi:type="dcterms:W3CDTF">2019-11-02T19:56:00Z</dcterms:modified>
</cp:coreProperties>
</file>